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0000" w:rsidRDefault="00D81571">
      <w:pPr>
        <w:widowControl w:val="0"/>
        <w:suppressAutoHyphens/>
        <w:autoSpaceDE w:val="0"/>
        <w:autoSpaceDN w:val="0"/>
        <w:adjustRightInd w:val="0"/>
        <w:spacing w:after="0" w:line="288" w:lineRule="auto"/>
        <w:jc w:val="both"/>
        <w:rPr>
          <w:rFonts w:ascii="Times" w:hAnsi="Times" w:cs="Times"/>
          <w:color w:val="000000"/>
          <w:sz w:val="24"/>
          <w:szCs w:val="24"/>
        </w:rPr>
      </w:pPr>
      <w:bookmarkStart w:id="0" w:name="_GoBack"/>
      <w:bookmarkEnd w:id="0"/>
      <w:r>
        <w:rPr>
          <w:rFonts w:ascii="Times" w:hAnsi="Times" w:cs="Times"/>
          <w:b/>
          <w:bCs/>
          <w:color w:val="000000"/>
          <w:sz w:val="24"/>
          <w:szCs w:val="24"/>
        </w:rPr>
        <w:t xml:space="preserve">Voces: </w:t>
      </w:r>
      <w:r>
        <w:rPr>
          <w:rFonts w:ascii="Times New Roman" w:hAnsi="Times New Roman" w:cs="Times New Roman"/>
          <w:color w:val="000080"/>
          <w:sz w:val="24"/>
          <w:szCs w:val="24"/>
        </w:rPr>
        <w:t>AJUSTE POR INFLACION ~ ALICUOTA ~ CONFISCATORIEDAD ~ IMPUESTO A LAS GANANCIAS ~ IMPUGNACION DE LA PERICIA ~ PERICIA CONTABLE ~ PRUEBA PERICIAL</w:t>
      </w:r>
    </w:p>
    <w:p w:rsidR="00000000" w:rsidRDefault="00D81571">
      <w:pPr>
        <w:widowControl w:val="0"/>
        <w:suppressAutoHyphens/>
        <w:autoSpaceDE w:val="0"/>
        <w:autoSpaceDN w:val="0"/>
        <w:adjustRightInd w:val="0"/>
        <w:spacing w:after="0" w:line="288" w:lineRule="auto"/>
        <w:jc w:val="both"/>
        <w:rPr>
          <w:rFonts w:ascii="Times" w:hAnsi="Times" w:cs="Times"/>
          <w:color w:val="000000"/>
          <w:sz w:val="24"/>
          <w:szCs w:val="24"/>
        </w:rPr>
      </w:pPr>
      <w:r>
        <w:rPr>
          <w:rFonts w:ascii="Times" w:hAnsi="Times" w:cs="Times"/>
          <w:b/>
          <w:bCs/>
          <w:color w:val="000000"/>
          <w:sz w:val="24"/>
          <w:szCs w:val="24"/>
        </w:rPr>
        <w:t xml:space="preserve">Tribunal: </w:t>
      </w:r>
      <w:r>
        <w:rPr>
          <w:rFonts w:ascii="Times" w:hAnsi="Times" w:cs="Times"/>
          <w:color w:val="535396"/>
          <w:sz w:val="24"/>
          <w:szCs w:val="24"/>
        </w:rPr>
        <w:t>Cámara Federal de Apelaciones de Bahía Blanca, sala II(CFedBahiaBlanca)(SalaII)</w:t>
      </w:r>
    </w:p>
    <w:p w:rsidR="00000000" w:rsidRDefault="00D81571">
      <w:pPr>
        <w:widowControl w:val="0"/>
        <w:suppressAutoHyphens/>
        <w:autoSpaceDE w:val="0"/>
        <w:autoSpaceDN w:val="0"/>
        <w:adjustRightInd w:val="0"/>
        <w:spacing w:after="0" w:line="288" w:lineRule="auto"/>
        <w:jc w:val="both"/>
        <w:rPr>
          <w:rFonts w:ascii="Times" w:hAnsi="Times" w:cs="Times"/>
          <w:color w:val="000000"/>
          <w:sz w:val="24"/>
          <w:szCs w:val="24"/>
        </w:rPr>
      </w:pPr>
      <w:r>
        <w:rPr>
          <w:rFonts w:ascii="Times" w:hAnsi="Times" w:cs="Times"/>
          <w:b/>
          <w:bCs/>
          <w:color w:val="000000"/>
          <w:sz w:val="24"/>
          <w:szCs w:val="24"/>
        </w:rPr>
        <w:t xml:space="preserve">Fecha: </w:t>
      </w:r>
      <w:r>
        <w:rPr>
          <w:rFonts w:ascii="Times" w:hAnsi="Times" w:cs="Times"/>
          <w:color w:val="535396"/>
          <w:sz w:val="24"/>
          <w:szCs w:val="24"/>
        </w:rPr>
        <w:t>17/05/2022</w:t>
      </w:r>
    </w:p>
    <w:p w:rsidR="00000000" w:rsidRDefault="00D81571">
      <w:pPr>
        <w:widowControl w:val="0"/>
        <w:suppressAutoHyphens/>
        <w:autoSpaceDE w:val="0"/>
        <w:autoSpaceDN w:val="0"/>
        <w:adjustRightInd w:val="0"/>
        <w:spacing w:after="0" w:line="288" w:lineRule="auto"/>
        <w:jc w:val="both"/>
        <w:rPr>
          <w:rFonts w:ascii="Times" w:hAnsi="Times" w:cs="Times"/>
          <w:color w:val="000000"/>
          <w:sz w:val="24"/>
          <w:szCs w:val="24"/>
        </w:rPr>
      </w:pPr>
      <w:r>
        <w:rPr>
          <w:rFonts w:ascii="Times" w:hAnsi="Times" w:cs="Times"/>
          <w:b/>
          <w:bCs/>
          <w:color w:val="000000"/>
          <w:sz w:val="24"/>
          <w:szCs w:val="24"/>
        </w:rPr>
        <w:t>Parte</w:t>
      </w:r>
      <w:r>
        <w:rPr>
          <w:rFonts w:ascii="Times" w:hAnsi="Times" w:cs="Times"/>
          <w:b/>
          <w:bCs/>
          <w:color w:val="000000"/>
          <w:sz w:val="24"/>
          <w:szCs w:val="24"/>
        </w:rPr>
        <w:t xml:space="preserve">s: </w:t>
      </w:r>
      <w:r>
        <w:rPr>
          <w:rFonts w:ascii="Times" w:hAnsi="Times" w:cs="Times"/>
          <w:color w:val="535396"/>
          <w:sz w:val="24"/>
          <w:szCs w:val="24"/>
        </w:rPr>
        <w:t>Cortondo, Blas Ruben c. AFIP-DGI s/ Acción mere declarativa de derecho</w:t>
      </w:r>
    </w:p>
    <w:p w:rsidR="00000000" w:rsidRDefault="00D81571">
      <w:pPr>
        <w:widowControl w:val="0"/>
        <w:suppressAutoHyphens/>
        <w:autoSpaceDE w:val="0"/>
        <w:autoSpaceDN w:val="0"/>
        <w:adjustRightInd w:val="0"/>
        <w:spacing w:before="60" w:after="0" w:line="288" w:lineRule="auto"/>
        <w:ind w:firstLine="300"/>
        <w:jc w:val="both"/>
        <w:rPr>
          <w:rFonts w:ascii="Times" w:hAnsi="Times" w:cs="Times"/>
          <w:color w:val="000000"/>
          <w:sz w:val="24"/>
          <w:szCs w:val="24"/>
        </w:rPr>
      </w:pPr>
      <w:r>
        <w:rPr>
          <w:rFonts w:ascii="Times" w:hAnsi="Times" w:cs="Times"/>
          <w:b/>
          <w:bCs/>
          <w:color w:val="000000"/>
          <w:sz w:val="24"/>
          <w:szCs w:val="24"/>
        </w:rPr>
        <w:t xml:space="preserve">Publicado en: </w:t>
      </w:r>
      <w:r>
        <w:rPr>
          <w:rFonts w:ascii="Times" w:hAnsi="Times" w:cs="Times"/>
          <w:color w:val="535396"/>
          <w:sz w:val="24"/>
          <w:szCs w:val="24"/>
        </w:rPr>
        <w:t xml:space="preserve">La Ley Online </w:t>
      </w:r>
    </w:p>
    <w:p w:rsidR="00000000" w:rsidRDefault="00D81571">
      <w:pPr>
        <w:widowControl w:val="0"/>
        <w:suppressAutoHyphens/>
        <w:autoSpaceDE w:val="0"/>
        <w:autoSpaceDN w:val="0"/>
        <w:adjustRightInd w:val="0"/>
        <w:spacing w:before="60" w:after="0" w:line="288" w:lineRule="auto"/>
        <w:ind w:firstLine="300"/>
        <w:jc w:val="both"/>
        <w:rPr>
          <w:rFonts w:ascii="Times" w:hAnsi="Times" w:cs="Times"/>
          <w:color w:val="000000"/>
          <w:sz w:val="24"/>
          <w:szCs w:val="24"/>
        </w:rPr>
      </w:pPr>
    </w:p>
    <w:p w:rsidR="00000000" w:rsidRDefault="00D81571">
      <w:pPr>
        <w:widowControl w:val="0"/>
        <w:suppressAutoHyphens/>
        <w:autoSpaceDE w:val="0"/>
        <w:autoSpaceDN w:val="0"/>
        <w:adjustRightInd w:val="0"/>
        <w:spacing w:after="0" w:line="288" w:lineRule="auto"/>
        <w:jc w:val="both"/>
        <w:rPr>
          <w:rFonts w:ascii="Times" w:hAnsi="Times" w:cs="Times"/>
          <w:color w:val="000000"/>
          <w:sz w:val="24"/>
          <w:szCs w:val="24"/>
        </w:rPr>
      </w:pPr>
      <w:r>
        <w:rPr>
          <w:rFonts w:ascii="Times" w:hAnsi="Times" w:cs="Times"/>
          <w:b/>
          <w:bCs/>
          <w:color w:val="000000"/>
          <w:sz w:val="24"/>
          <w:szCs w:val="24"/>
        </w:rPr>
        <w:t xml:space="preserve">Sumarios: </w:t>
      </w:r>
    </w:p>
    <w:p w:rsidR="00000000" w:rsidRDefault="00D81571">
      <w:pPr>
        <w:widowControl w:val="0"/>
        <w:suppressAutoHyphens/>
        <w:autoSpaceDE w:val="0"/>
        <w:autoSpaceDN w:val="0"/>
        <w:adjustRightInd w:val="0"/>
        <w:spacing w:after="0" w:line="288" w:lineRule="auto"/>
        <w:jc w:val="both"/>
        <w:rPr>
          <w:rFonts w:ascii="Times" w:hAnsi="Times" w:cs="Times"/>
          <w:color w:val="000000"/>
          <w:sz w:val="24"/>
          <w:szCs w:val="24"/>
        </w:rPr>
      </w:pPr>
      <w:r>
        <w:rPr>
          <w:rFonts w:ascii="Times" w:hAnsi="Times" w:cs="Times"/>
          <w:color w:val="000000"/>
          <w:sz w:val="24"/>
          <w:szCs w:val="24"/>
        </w:rPr>
        <w:t>1. Debe admitirse la demanda y facultar al actor a la aplicación del ajuste por inflación con relación al Impuesto a las Ganancias a tributar</w:t>
      </w:r>
      <w:r>
        <w:rPr>
          <w:rFonts w:ascii="Times" w:hAnsi="Times" w:cs="Times"/>
          <w:color w:val="000000"/>
          <w:sz w:val="24"/>
          <w:szCs w:val="24"/>
        </w:rPr>
        <w:t xml:space="preserve"> computando el 100% del ajuste </w:t>
      </w:r>
      <w:r>
        <w:rPr>
          <w:rFonts w:ascii="Times" w:hAnsi="Times" w:cs="Times"/>
          <w:color w:val="000000"/>
          <w:sz w:val="24"/>
          <w:szCs w:val="24"/>
        </w:rPr>
        <w:t>—</w:t>
      </w:r>
      <w:r>
        <w:rPr>
          <w:rFonts w:ascii="Times" w:hAnsi="Times" w:cs="Times"/>
          <w:color w:val="000000"/>
          <w:sz w:val="24"/>
          <w:szCs w:val="24"/>
        </w:rPr>
        <w:t>aplicación integral</w:t>
      </w:r>
      <w:r>
        <w:rPr>
          <w:rFonts w:ascii="Times" w:hAnsi="Times" w:cs="Times"/>
          <w:color w:val="000000"/>
          <w:sz w:val="24"/>
          <w:szCs w:val="24"/>
        </w:rPr>
        <w:t>—</w:t>
      </w:r>
      <w:r>
        <w:rPr>
          <w:rFonts w:ascii="Times" w:hAnsi="Times" w:cs="Times"/>
          <w:color w:val="000000"/>
          <w:sz w:val="24"/>
          <w:szCs w:val="24"/>
        </w:rPr>
        <w:t xml:space="preserve">, sin tener que hacerlo utilizando el mecanismo impuesto por el art. 194 de la ley 20.628 </w:t>
      </w:r>
      <w:r>
        <w:rPr>
          <w:rFonts w:ascii="Times" w:hAnsi="Times" w:cs="Times"/>
          <w:color w:val="000000"/>
          <w:sz w:val="24"/>
          <w:szCs w:val="24"/>
        </w:rPr>
        <w:t>—</w:t>
      </w:r>
      <w:r>
        <w:rPr>
          <w:rFonts w:ascii="Times" w:hAnsi="Times" w:cs="Times"/>
          <w:color w:val="000000"/>
          <w:sz w:val="24"/>
          <w:szCs w:val="24"/>
        </w:rPr>
        <w:t>dec. 824/2019</w:t>
      </w:r>
      <w:r>
        <w:rPr>
          <w:rFonts w:ascii="Times" w:hAnsi="Times" w:cs="Times"/>
          <w:color w:val="000000"/>
          <w:sz w:val="24"/>
          <w:szCs w:val="24"/>
        </w:rPr>
        <w:t>—</w:t>
      </w:r>
      <w:r>
        <w:rPr>
          <w:rFonts w:ascii="Times" w:hAnsi="Times" w:cs="Times"/>
          <w:color w:val="000000"/>
          <w:sz w:val="24"/>
          <w:szCs w:val="24"/>
        </w:rPr>
        <w:t xml:space="preserve"> en cuanto dispone el diferimiento en sextos con relación al ejercicio iniciado el 1 de enero de 20</w:t>
      </w:r>
      <w:r>
        <w:rPr>
          <w:rFonts w:ascii="Times" w:hAnsi="Times" w:cs="Times"/>
          <w:color w:val="000000"/>
          <w:sz w:val="24"/>
          <w:szCs w:val="24"/>
        </w:rPr>
        <w:t>19, pues, según la pericia, con un simple cálculo aritmético de la incidencia de la suma del tributo a ingresar sin diferimiento de sextos respecto de la base imponible sujeta a impuesto con la deducción del ajuste en su totalidad se puede obtener la alícu</w:t>
      </w:r>
      <w:r>
        <w:rPr>
          <w:rFonts w:ascii="Times" w:hAnsi="Times" w:cs="Times"/>
          <w:color w:val="000000"/>
          <w:sz w:val="24"/>
          <w:szCs w:val="24"/>
        </w:rPr>
        <w:t xml:space="preserve">ota efectiva del gravamen del 78,43 % que el contribuyente denuncia, y por lo tanto tener por fehacientemente comprobada la confiscatoriedad alegada. No habiendo el ente recaudador aportado elementos propios de las facultades que le competen en materia de </w:t>
      </w:r>
      <w:r>
        <w:rPr>
          <w:rFonts w:ascii="Times" w:hAnsi="Times" w:cs="Times"/>
          <w:color w:val="000000"/>
          <w:sz w:val="24"/>
          <w:szCs w:val="24"/>
        </w:rPr>
        <w:t xml:space="preserve">fiscalización o de verificación que permitan vislumbrar la existencia de un incumplimiento del actor en sus labores declarativas, la prueba recabada en esta instancia permite tener por acreditado que la aplicación irrestricta de la normativa reglamentaria </w:t>
      </w:r>
      <w:r>
        <w:rPr>
          <w:rFonts w:ascii="Times" w:hAnsi="Times" w:cs="Times"/>
          <w:color w:val="000000"/>
          <w:sz w:val="24"/>
          <w:szCs w:val="24"/>
        </w:rPr>
        <w:t xml:space="preserve">implicaría un insumo notorio de una porción sustancial de las rentas obtenidas por el actor. </w:t>
      </w:r>
    </w:p>
    <w:p w:rsidR="00000000" w:rsidRDefault="00D81571">
      <w:pPr>
        <w:widowControl w:val="0"/>
        <w:suppressAutoHyphens/>
        <w:autoSpaceDE w:val="0"/>
        <w:autoSpaceDN w:val="0"/>
        <w:adjustRightInd w:val="0"/>
        <w:spacing w:before="60" w:after="0" w:line="288" w:lineRule="auto"/>
        <w:ind w:firstLine="300"/>
        <w:jc w:val="both"/>
        <w:rPr>
          <w:rFonts w:ascii="Times" w:hAnsi="Times" w:cs="Times"/>
          <w:color w:val="000000"/>
          <w:sz w:val="24"/>
          <w:szCs w:val="24"/>
        </w:rPr>
      </w:pPr>
    </w:p>
    <w:p w:rsidR="00000000" w:rsidRDefault="00D81571">
      <w:pPr>
        <w:widowControl w:val="0"/>
        <w:suppressAutoHyphens/>
        <w:autoSpaceDE w:val="0"/>
        <w:autoSpaceDN w:val="0"/>
        <w:adjustRightInd w:val="0"/>
        <w:spacing w:before="100" w:after="100" w:line="288" w:lineRule="auto"/>
        <w:ind w:left="300"/>
        <w:jc w:val="both"/>
        <w:rPr>
          <w:rFonts w:ascii="Times" w:hAnsi="Times" w:cs="Times"/>
          <w:b/>
          <w:bCs/>
          <w:color w:val="000000"/>
          <w:sz w:val="24"/>
          <w:szCs w:val="24"/>
        </w:rPr>
      </w:pPr>
      <w:r>
        <w:rPr>
          <w:rFonts w:ascii="Times" w:hAnsi="Times" w:cs="Times"/>
          <w:b/>
          <w:bCs/>
          <w:color w:val="000000"/>
          <w:sz w:val="24"/>
          <w:szCs w:val="24"/>
        </w:rPr>
        <w:t>Jurisprudencia Relacionada(*)</w:t>
      </w:r>
    </w:p>
    <w:p w:rsidR="00000000" w:rsidRDefault="00D81571">
      <w:pPr>
        <w:widowControl w:val="0"/>
        <w:suppressAutoHyphens/>
        <w:autoSpaceDE w:val="0"/>
        <w:autoSpaceDN w:val="0"/>
        <w:adjustRightInd w:val="0"/>
        <w:spacing w:after="0" w:line="288" w:lineRule="auto"/>
        <w:ind w:left="900"/>
        <w:jc w:val="both"/>
        <w:rPr>
          <w:rFonts w:ascii="Times" w:hAnsi="Times" w:cs="Times"/>
          <w:b/>
          <w:bCs/>
          <w:color w:val="000000"/>
          <w:sz w:val="24"/>
          <w:szCs w:val="24"/>
        </w:rPr>
      </w:pPr>
      <w:r>
        <w:rPr>
          <w:rFonts w:ascii="Times" w:hAnsi="Times" w:cs="Times"/>
          <w:b/>
          <w:bCs/>
          <w:color w:val="000000"/>
          <w:sz w:val="24"/>
          <w:szCs w:val="24"/>
        </w:rPr>
        <w:t>Igual Sentido</w:t>
      </w:r>
    </w:p>
    <w:p w:rsidR="00000000" w:rsidRDefault="00D81571">
      <w:pPr>
        <w:widowControl w:val="0"/>
        <w:suppressAutoHyphens/>
        <w:autoSpaceDE w:val="0"/>
        <w:autoSpaceDN w:val="0"/>
        <w:adjustRightInd w:val="0"/>
        <w:spacing w:after="0" w:line="288" w:lineRule="auto"/>
        <w:ind w:left="900"/>
        <w:jc w:val="both"/>
        <w:rPr>
          <w:rFonts w:ascii="Times" w:hAnsi="Times" w:cs="Times"/>
          <w:color w:val="000000"/>
          <w:sz w:val="24"/>
          <w:szCs w:val="24"/>
        </w:rPr>
      </w:pPr>
      <w:hyperlink r:id="rId7" w:history="1">
        <w:r>
          <w:rPr>
            <w:rFonts w:ascii="Times" w:hAnsi="Times" w:cs="Times"/>
            <w:color w:val="393884"/>
            <w:sz w:val="24"/>
            <w:szCs w:val="24"/>
            <w:u w:val="single"/>
          </w:rPr>
          <w:t>Cámara Federal de Apelaciones de Bahía Blanca, sala I, “Baier, Omar Jacobo c. AFIP (DGI) E.NAC s/ Acción mere declarativa de derecho”, 07/04/2022, TR LALEY AR/JUR/25082/2022</w:t>
        </w:r>
      </w:hyperlink>
    </w:p>
    <w:p w:rsidR="00000000" w:rsidRDefault="00D81571">
      <w:pPr>
        <w:widowControl w:val="0"/>
        <w:suppressAutoHyphens/>
        <w:autoSpaceDE w:val="0"/>
        <w:autoSpaceDN w:val="0"/>
        <w:adjustRightInd w:val="0"/>
        <w:spacing w:before="100" w:after="100" w:line="288" w:lineRule="auto"/>
        <w:ind w:left="300"/>
        <w:jc w:val="both"/>
        <w:rPr>
          <w:rFonts w:ascii="Times" w:hAnsi="Times" w:cs="Times"/>
          <w:color w:val="000000"/>
          <w:sz w:val="24"/>
          <w:szCs w:val="24"/>
        </w:rPr>
      </w:pPr>
      <w:r>
        <w:rPr>
          <w:rFonts w:ascii="Times" w:hAnsi="Times" w:cs="Times"/>
          <w:color w:val="000000"/>
          <w:sz w:val="24"/>
          <w:szCs w:val="24"/>
        </w:rPr>
        <w:t>(*) Información a la época del fallo</w:t>
      </w:r>
    </w:p>
    <w:p w:rsidR="00000000" w:rsidRDefault="00D81571">
      <w:pPr>
        <w:widowControl w:val="0"/>
        <w:suppressAutoHyphens/>
        <w:autoSpaceDE w:val="0"/>
        <w:autoSpaceDN w:val="0"/>
        <w:adjustRightInd w:val="0"/>
        <w:spacing w:before="60" w:after="0" w:line="288" w:lineRule="auto"/>
        <w:ind w:firstLine="300"/>
        <w:jc w:val="both"/>
        <w:rPr>
          <w:rFonts w:ascii="Times" w:hAnsi="Times" w:cs="Times"/>
          <w:color w:val="000000"/>
          <w:sz w:val="24"/>
          <w:szCs w:val="24"/>
        </w:rPr>
      </w:pPr>
    </w:p>
    <w:p w:rsidR="00000000" w:rsidRDefault="00D81571">
      <w:pPr>
        <w:widowControl w:val="0"/>
        <w:suppressAutoHyphens/>
        <w:autoSpaceDE w:val="0"/>
        <w:autoSpaceDN w:val="0"/>
        <w:adjustRightInd w:val="0"/>
        <w:spacing w:after="0" w:line="288" w:lineRule="auto"/>
        <w:jc w:val="both"/>
        <w:rPr>
          <w:rFonts w:ascii="Times" w:hAnsi="Times" w:cs="Times"/>
          <w:color w:val="000000"/>
          <w:sz w:val="24"/>
          <w:szCs w:val="24"/>
        </w:rPr>
      </w:pPr>
      <w:r>
        <w:rPr>
          <w:rFonts w:ascii="Times" w:hAnsi="Times" w:cs="Times"/>
          <w:color w:val="000000"/>
          <w:sz w:val="24"/>
          <w:szCs w:val="24"/>
        </w:rPr>
        <w:t xml:space="preserve">2. Como principio, la confiscatoriedad implica un perjuicio cuando el gravamen absorbe una parte sustancial de las rentas reales o potenciales </w:t>
      </w:r>
      <w:r>
        <w:rPr>
          <w:rFonts w:ascii="Times" w:hAnsi="Times" w:cs="Times"/>
          <w:color w:val="000000"/>
          <w:sz w:val="24"/>
          <w:szCs w:val="24"/>
        </w:rPr>
        <w:t>—</w:t>
      </w:r>
      <w:r>
        <w:rPr>
          <w:rFonts w:ascii="Times" w:hAnsi="Times" w:cs="Times"/>
          <w:color w:val="000000"/>
          <w:sz w:val="24"/>
          <w:szCs w:val="24"/>
        </w:rPr>
        <w:t>de acuerdo con una explotación racional de la fuente productora de rédito</w:t>
      </w:r>
      <w:r>
        <w:rPr>
          <w:rFonts w:ascii="Times" w:hAnsi="Times" w:cs="Times"/>
          <w:color w:val="000000"/>
          <w:sz w:val="24"/>
          <w:szCs w:val="24"/>
        </w:rPr>
        <w:t>—</w:t>
      </w:r>
      <w:r>
        <w:rPr>
          <w:rFonts w:ascii="Times" w:hAnsi="Times" w:cs="Times"/>
          <w:color w:val="000000"/>
          <w:sz w:val="24"/>
          <w:szCs w:val="24"/>
        </w:rPr>
        <w:t xml:space="preserve"> de una empresa o actividad, encontrán</w:t>
      </w:r>
      <w:r>
        <w:rPr>
          <w:rFonts w:ascii="Times" w:hAnsi="Times" w:cs="Times"/>
          <w:color w:val="000000"/>
          <w:sz w:val="24"/>
          <w:szCs w:val="24"/>
        </w:rPr>
        <w:t xml:space="preserve">dose la prueba de dicho perjuicio a cargo de quien lo alega. </w:t>
      </w:r>
    </w:p>
    <w:p w:rsidR="00000000" w:rsidRDefault="00D81571">
      <w:pPr>
        <w:widowControl w:val="0"/>
        <w:suppressAutoHyphens/>
        <w:autoSpaceDE w:val="0"/>
        <w:autoSpaceDN w:val="0"/>
        <w:adjustRightInd w:val="0"/>
        <w:spacing w:after="0" w:line="288" w:lineRule="auto"/>
        <w:jc w:val="both"/>
        <w:rPr>
          <w:rFonts w:ascii="Times" w:hAnsi="Times" w:cs="Times"/>
          <w:color w:val="000000"/>
          <w:sz w:val="24"/>
          <w:szCs w:val="24"/>
        </w:rPr>
      </w:pPr>
      <w:r>
        <w:rPr>
          <w:rFonts w:ascii="Times" w:hAnsi="Times" w:cs="Times"/>
          <w:color w:val="000000"/>
          <w:sz w:val="24"/>
          <w:szCs w:val="24"/>
        </w:rPr>
        <w:t>3. Las críticas del Fisco no revisten real gravitación para descalificar el dictamen pericial, por cuanto, independientemente de la diferencia de criterios que pudieran existir para justificar l</w:t>
      </w:r>
      <w:r>
        <w:rPr>
          <w:rFonts w:ascii="Times" w:hAnsi="Times" w:cs="Times"/>
          <w:color w:val="000000"/>
          <w:sz w:val="24"/>
          <w:szCs w:val="24"/>
        </w:rPr>
        <w:t xml:space="preserve">a tarea profesional encomendada al perito, lo cierto es que en ningún momento se cuestiona o siquiera objeta la validez de los resultados expuestos, las diferencias porcentuales existentes entre las dos formas de calcular el tributo </w:t>
      </w:r>
      <w:r>
        <w:rPr>
          <w:rFonts w:ascii="Times" w:hAnsi="Times" w:cs="Times"/>
          <w:color w:val="000000"/>
          <w:sz w:val="24"/>
          <w:szCs w:val="24"/>
        </w:rPr>
        <w:t>—</w:t>
      </w:r>
      <w:r>
        <w:rPr>
          <w:rFonts w:ascii="Times" w:hAnsi="Times" w:cs="Times"/>
          <w:color w:val="000000"/>
          <w:sz w:val="24"/>
          <w:szCs w:val="24"/>
        </w:rPr>
        <w:t>Impuesto a las Gananci</w:t>
      </w:r>
      <w:r>
        <w:rPr>
          <w:rFonts w:ascii="Times" w:hAnsi="Times" w:cs="Times"/>
          <w:color w:val="000000"/>
          <w:sz w:val="24"/>
          <w:szCs w:val="24"/>
        </w:rPr>
        <w:t>as con y sin diferimientos en sextos</w:t>
      </w:r>
      <w:r>
        <w:rPr>
          <w:rFonts w:ascii="Times" w:hAnsi="Times" w:cs="Times"/>
          <w:color w:val="000000"/>
          <w:sz w:val="24"/>
          <w:szCs w:val="24"/>
        </w:rPr>
        <w:t>—</w:t>
      </w:r>
      <w:r>
        <w:rPr>
          <w:rFonts w:ascii="Times" w:hAnsi="Times" w:cs="Times"/>
          <w:color w:val="000000"/>
          <w:sz w:val="24"/>
          <w:szCs w:val="24"/>
        </w:rPr>
        <w:t xml:space="preserve"> y las razonables consecuencias para la actividad del contribuyente derivadas de un </w:t>
      </w:r>
      <w:r>
        <w:rPr>
          <w:rFonts w:ascii="Times" w:hAnsi="Times" w:cs="Times"/>
          <w:color w:val="000000"/>
          <w:sz w:val="24"/>
          <w:szCs w:val="24"/>
        </w:rPr>
        <w:lastRenderedPageBreak/>
        <w:t xml:space="preserve">incremento significativo en el importe final del gravamen. </w:t>
      </w:r>
    </w:p>
    <w:p w:rsidR="00000000" w:rsidRDefault="00D81571">
      <w:pPr>
        <w:widowControl w:val="0"/>
        <w:suppressAutoHyphens/>
        <w:autoSpaceDE w:val="0"/>
        <w:autoSpaceDN w:val="0"/>
        <w:adjustRightInd w:val="0"/>
        <w:spacing w:before="60" w:after="0" w:line="288" w:lineRule="auto"/>
        <w:ind w:firstLine="300"/>
        <w:jc w:val="both"/>
        <w:rPr>
          <w:rFonts w:ascii="Times" w:hAnsi="Times" w:cs="Times"/>
          <w:color w:val="000000"/>
          <w:sz w:val="24"/>
          <w:szCs w:val="24"/>
        </w:rPr>
      </w:pPr>
    </w:p>
    <w:p w:rsidR="00000000" w:rsidRDefault="00D81571">
      <w:pPr>
        <w:widowControl w:val="0"/>
        <w:suppressAutoHyphens/>
        <w:autoSpaceDE w:val="0"/>
        <w:autoSpaceDN w:val="0"/>
        <w:adjustRightInd w:val="0"/>
        <w:spacing w:before="40" w:after="40" w:line="288" w:lineRule="auto"/>
        <w:ind w:firstLine="300"/>
        <w:jc w:val="both"/>
        <w:rPr>
          <w:rFonts w:ascii="Times" w:hAnsi="Times" w:cs="Times"/>
          <w:color w:val="000000"/>
          <w:sz w:val="24"/>
          <w:szCs w:val="24"/>
        </w:rPr>
      </w:pPr>
      <w:r>
        <w:rPr>
          <w:rFonts w:ascii="Times" w:hAnsi="Times" w:cs="Times"/>
          <w:b/>
          <w:bCs/>
          <w:color w:val="000000"/>
          <w:sz w:val="24"/>
          <w:szCs w:val="24"/>
        </w:rPr>
        <w:t xml:space="preserve">Texto Completo: </w:t>
      </w:r>
      <w:r>
        <w:rPr>
          <w:rFonts w:ascii="Times" w:hAnsi="Times" w:cs="Times"/>
          <w:color w:val="000000"/>
          <w:sz w:val="24"/>
          <w:szCs w:val="24"/>
        </w:rPr>
        <w:t>Expediente N° FBB 10.258/2020/CA2</w:t>
      </w:r>
    </w:p>
    <w:p w:rsidR="00000000" w:rsidRDefault="00D81571">
      <w:pPr>
        <w:widowControl w:val="0"/>
        <w:suppressAutoHyphens/>
        <w:autoSpaceDE w:val="0"/>
        <w:autoSpaceDN w:val="0"/>
        <w:adjustRightInd w:val="0"/>
        <w:spacing w:before="40" w:after="40" w:line="288" w:lineRule="auto"/>
        <w:ind w:firstLine="300"/>
        <w:jc w:val="both"/>
        <w:rPr>
          <w:rFonts w:ascii="Times" w:hAnsi="Times" w:cs="Times"/>
          <w:color w:val="000000"/>
          <w:sz w:val="24"/>
          <w:szCs w:val="24"/>
        </w:rPr>
      </w:pPr>
      <w:r>
        <w:rPr>
          <w:rFonts w:ascii="Times" w:hAnsi="Times" w:cs="Times"/>
          <w:b/>
          <w:bCs/>
          <w:color w:val="000000"/>
          <w:sz w:val="24"/>
          <w:szCs w:val="24"/>
        </w:rPr>
        <w:t>2ª Instancia</w:t>
      </w:r>
      <w:r>
        <w:rPr>
          <w:rFonts w:ascii="Times" w:hAnsi="Times" w:cs="Times"/>
          <w:color w:val="000000"/>
          <w:sz w:val="24"/>
          <w:szCs w:val="24"/>
        </w:rPr>
        <w:t>.- Bahía Bla</w:t>
      </w:r>
      <w:r>
        <w:rPr>
          <w:rFonts w:ascii="Times" w:hAnsi="Times" w:cs="Times"/>
          <w:color w:val="000000"/>
          <w:sz w:val="24"/>
          <w:szCs w:val="24"/>
        </w:rPr>
        <w:t>nca, mayo 17 de 2022.</w:t>
      </w:r>
    </w:p>
    <w:p w:rsidR="00000000" w:rsidRDefault="00D81571">
      <w:pPr>
        <w:widowControl w:val="0"/>
        <w:suppressAutoHyphens/>
        <w:autoSpaceDE w:val="0"/>
        <w:autoSpaceDN w:val="0"/>
        <w:adjustRightInd w:val="0"/>
        <w:spacing w:before="40" w:after="40" w:line="288" w:lineRule="auto"/>
        <w:ind w:firstLine="300"/>
        <w:jc w:val="both"/>
        <w:rPr>
          <w:rFonts w:ascii="Times" w:hAnsi="Times" w:cs="Times"/>
          <w:color w:val="000000"/>
          <w:sz w:val="24"/>
          <w:szCs w:val="24"/>
        </w:rPr>
      </w:pPr>
      <w:r>
        <w:rPr>
          <w:rFonts w:ascii="Times" w:hAnsi="Times" w:cs="Times"/>
          <w:color w:val="000000"/>
          <w:sz w:val="24"/>
          <w:szCs w:val="24"/>
        </w:rPr>
        <w:t>El doctor Amabile dijo:</w:t>
      </w:r>
    </w:p>
    <w:p w:rsidR="00000000" w:rsidRDefault="00D81571">
      <w:pPr>
        <w:widowControl w:val="0"/>
        <w:suppressAutoHyphens/>
        <w:autoSpaceDE w:val="0"/>
        <w:autoSpaceDN w:val="0"/>
        <w:adjustRightInd w:val="0"/>
        <w:spacing w:before="40" w:after="40" w:line="288" w:lineRule="auto"/>
        <w:ind w:firstLine="300"/>
        <w:jc w:val="both"/>
        <w:rPr>
          <w:rFonts w:ascii="Times" w:hAnsi="Times" w:cs="Times"/>
          <w:color w:val="000000"/>
          <w:sz w:val="24"/>
          <w:szCs w:val="24"/>
        </w:rPr>
      </w:pPr>
      <w:r>
        <w:rPr>
          <w:rFonts w:ascii="Times" w:hAnsi="Times" w:cs="Times"/>
          <w:color w:val="000000"/>
          <w:sz w:val="24"/>
          <w:szCs w:val="24"/>
        </w:rPr>
        <w:t>1°) Que a fs. 135, el Sr. Juez de grado hizo lugar parcialmente a la demanda interpuesta por el Dr. Ariel Nicolás Martella, en representación de Blas Rubén Cortondo, facultando al actor a la aplicación del ajus</w:t>
      </w:r>
      <w:r>
        <w:rPr>
          <w:rFonts w:ascii="Times" w:hAnsi="Times" w:cs="Times"/>
          <w:color w:val="000000"/>
          <w:sz w:val="24"/>
          <w:szCs w:val="24"/>
        </w:rPr>
        <w:t>te por inflación en relación al impuesto a las ganancias a tributar computando el 100% del ajuste (aplicación integral), sin tener que hacerlo utilizando el mecanismo impuesto por el art. 194 de la ley 20.628 del Impuesto a las Ganancias (Decreto 824/2019)</w:t>
      </w:r>
      <w:r>
        <w:rPr>
          <w:rFonts w:ascii="Times" w:hAnsi="Times" w:cs="Times"/>
          <w:color w:val="000000"/>
          <w:sz w:val="24"/>
          <w:szCs w:val="24"/>
        </w:rPr>
        <w:t xml:space="preserve"> en cuanto dispone el diferimiento en sextos en relación al ejercicio iniciado el 1 de enero de 2019. </w:t>
      </w:r>
    </w:p>
    <w:p w:rsidR="00000000" w:rsidRDefault="00D81571">
      <w:pPr>
        <w:widowControl w:val="0"/>
        <w:suppressAutoHyphens/>
        <w:autoSpaceDE w:val="0"/>
        <w:autoSpaceDN w:val="0"/>
        <w:adjustRightInd w:val="0"/>
        <w:spacing w:before="40" w:after="40" w:line="288" w:lineRule="auto"/>
        <w:ind w:firstLine="300"/>
        <w:jc w:val="both"/>
        <w:rPr>
          <w:rFonts w:ascii="Times" w:hAnsi="Times" w:cs="Times"/>
          <w:color w:val="000000"/>
          <w:sz w:val="24"/>
          <w:szCs w:val="24"/>
        </w:rPr>
      </w:pPr>
      <w:r>
        <w:rPr>
          <w:rFonts w:ascii="Times" w:hAnsi="Times" w:cs="Times"/>
          <w:color w:val="000000"/>
          <w:sz w:val="24"/>
          <w:szCs w:val="24"/>
        </w:rPr>
        <w:t xml:space="preserve">Para así resolver, la a quo entendió que, sin perjuicio de desestimar el planteo de inconstitucionalidad de las normas que dan sustento a la acción, con </w:t>
      </w:r>
      <w:r>
        <w:rPr>
          <w:rFonts w:ascii="Times" w:hAnsi="Times" w:cs="Times"/>
          <w:color w:val="000000"/>
          <w:sz w:val="24"/>
          <w:szCs w:val="24"/>
        </w:rPr>
        <w:t xml:space="preserve">fundamento en la postura adoptada por la CSJN en el fallo </w:t>
      </w:r>
      <w:r>
        <w:rPr>
          <w:rFonts w:ascii="Times" w:hAnsi="Times" w:cs="Times"/>
          <w:color w:val="000000"/>
          <w:sz w:val="24"/>
          <w:szCs w:val="24"/>
        </w:rPr>
        <w:t>“</w:t>
      </w:r>
      <w:r>
        <w:rPr>
          <w:rFonts w:ascii="Times" w:hAnsi="Times" w:cs="Times"/>
          <w:color w:val="000000"/>
          <w:sz w:val="24"/>
          <w:szCs w:val="24"/>
        </w:rPr>
        <w:t>Candy</w:t>
      </w:r>
      <w:r>
        <w:rPr>
          <w:rFonts w:ascii="Times" w:hAnsi="Times" w:cs="Times"/>
          <w:color w:val="000000"/>
          <w:sz w:val="24"/>
          <w:szCs w:val="24"/>
        </w:rPr>
        <w:t>”</w:t>
      </w:r>
      <w:r>
        <w:rPr>
          <w:rFonts w:ascii="Times" w:hAnsi="Times" w:cs="Times"/>
          <w:color w:val="000000"/>
          <w:sz w:val="24"/>
          <w:szCs w:val="24"/>
        </w:rPr>
        <w:t>, el presente caso se ajusta a los lineamientos detallados en dicho precedente jurisprudencial y se encuentran reunidos los recaudos fijados en aquellos para tener por demostrada la confiscat</w:t>
      </w:r>
      <w:r>
        <w:rPr>
          <w:rFonts w:ascii="Times" w:hAnsi="Times" w:cs="Times"/>
          <w:color w:val="000000"/>
          <w:sz w:val="24"/>
          <w:szCs w:val="24"/>
        </w:rPr>
        <w:t>oriedad invocada por la parte actora.</w:t>
      </w:r>
    </w:p>
    <w:p w:rsidR="00000000" w:rsidRDefault="00D81571">
      <w:pPr>
        <w:widowControl w:val="0"/>
        <w:suppressAutoHyphens/>
        <w:autoSpaceDE w:val="0"/>
        <w:autoSpaceDN w:val="0"/>
        <w:adjustRightInd w:val="0"/>
        <w:spacing w:before="40" w:after="40" w:line="288" w:lineRule="auto"/>
        <w:ind w:firstLine="300"/>
        <w:jc w:val="both"/>
        <w:rPr>
          <w:rFonts w:ascii="Times" w:hAnsi="Times" w:cs="Times"/>
          <w:color w:val="000000"/>
          <w:sz w:val="24"/>
          <w:szCs w:val="24"/>
        </w:rPr>
      </w:pPr>
      <w:r>
        <w:rPr>
          <w:rFonts w:ascii="Times" w:hAnsi="Times" w:cs="Times"/>
          <w:color w:val="000000"/>
          <w:sz w:val="24"/>
          <w:szCs w:val="24"/>
        </w:rPr>
        <w:t>Finalmente, impuso las costas en el orden causado en mérito a la complejidad jurídica de la cuestión en debate y a la forma en que se la resolvió.</w:t>
      </w:r>
    </w:p>
    <w:p w:rsidR="00000000" w:rsidRDefault="00D81571">
      <w:pPr>
        <w:widowControl w:val="0"/>
        <w:suppressAutoHyphens/>
        <w:autoSpaceDE w:val="0"/>
        <w:autoSpaceDN w:val="0"/>
        <w:adjustRightInd w:val="0"/>
        <w:spacing w:before="40" w:after="40" w:line="288" w:lineRule="auto"/>
        <w:ind w:firstLine="300"/>
        <w:jc w:val="both"/>
        <w:rPr>
          <w:rFonts w:ascii="Times" w:hAnsi="Times" w:cs="Times"/>
          <w:color w:val="000000"/>
          <w:sz w:val="24"/>
          <w:szCs w:val="24"/>
        </w:rPr>
      </w:pPr>
      <w:r>
        <w:rPr>
          <w:rFonts w:ascii="Times" w:hAnsi="Times" w:cs="Times"/>
          <w:color w:val="000000"/>
          <w:sz w:val="24"/>
          <w:szCs w:val="24"/>
        </w:rPr>
        <w:t>Asimismo, reguló los honorarios del Dr. Víctor Hugo Susbielles, en su c</w:t>
      </w:r>
      <w:r>
        <w:rPr>
          <w:rFonts w:ascii="Times" w:hAnsi="Times" w:cs="Times"/>
          <w:color w:val="000000"/>
          <w:sz w:val="24"/>
          <w:szCs w:val="24"/>
        </w:rPr>
        <w:t>arácter de perito contador, en ... UMA (arts. 16, 19, 51 y 60 de la ley 27.423), equivalentes a la fecha de la resolución a la suma de $... (conforme Ac. 28/2021 de la CSJN).</w:t>
      </w:r>
    </w:p>
    <w:p w:rsidR="00000000" w:rsidRDefault="00D81571">
      <w:pPr>
        <w:widowControl w:val="0"/>
        <w:suppressAutoHyphens/>
        <w:autoSpaceDE w:val="0"/>
        <w:autoSpaceDN w:val="0"/>
        <w:adjustRightInd w:val="0"/>
        <w:spacing w:before="40" w:after="40" w:line="288" w:lineRule="auto"/>
        <w:ind w:firstLine="300"/>
        <w:jc w:val="both"/>
        <w:rPr>
          <w:rFonts w:ascii="Times" w:hAnsi="Times" w:cs="Times"/>
          <w:color w:val="000000"/>
          <w:sz w:val="24"/>
          <w:szCs w:val="24"/>
        </w:rPr>
      </w:pPr>
      <w:r>
        <w:rPr>
          <w:rFonts w:ascii="Times" w:hAnsi="Times" w:cs="Times"/>
          <w:color w:val="000000"/>
          <w:sz w:val="24"/>
          <w:szCs w:val="24"/>
        </w:rPr>
        <w:t>2°) Contra lo así resuelto, a fs. 136 la parte demandada interpuso recurso de ape</w:t>
      </w:r>
      <w:r>
        <w:rPr>
          <w:rFonts w:ascii="Times" w:hAnsi="Times" w:cs="Times"/>
          <w:color w:val="000000"/>
          <w:sz w:val="24"/>
          <w:szCs w:val="24"/>
        </w:rPr>
        <w:t>lación, el cual fue debidamente fundando a fs. 138/152.</w:t>
      </w:r>
    </w:p>
    <w:p w:rsidR="00000000" w:rsidRDefault="00D81571">
      <w:pPr>
        <w:widowControl w:val="0"/>
        <w:suppressAutoHyphens/>
        <w:autoSpaceDE w:val="0"/>
        <w:autoSpaceDN w:val="0"/>
        <w:adjustRightInd w:val="0"/>
        <w:spacing w:before="40" w:after="40" w:line="288" w:lineRule="auto"/>
        <w:ind w:firstLine="300"/>
        <w:jc w:val="both"/>
        <w:rPr>
          <w:rFonts w:ascii="Times" w:hAnsi="Times" w:cs="Times"/>
          <w:color w:val="000000"/>
          <w:sz w:val="24"/>
          <w:szCs w:val="24"/>
        </w:rPr>
      </w:pPr>
      <w:r>
        <w:rPr>
          <w:rFonts w:ascii="Times" w:hAnsi="Times" w:cs="Times"/>
          <w:color w:val="000000"/>
          <w:sz w:val="24"/>
          <w:szCs w:val="24"/>
        </w:rPr>
        <w:t>En primer lugar, cuestionó la vía intentada, por no encontrarse reunidos los requisitos para la procedencia de la vía de la acción declarativa de conformidad con lo previsto por el art. 322 del Cód. P</w:t>
      </w:r>
      <w:r>
        <w:rPr>
          <w:rFonts w:ascii="Times" w:hAnsi="Times" w:cs="Times"/>
          <w:color w:val="000000"/>
          <w:sz w:val="24"/>
          <w:szCs w:val="24"/>
        </w:rPr>
        <w:t>roc. Civ. y Com. de la Nación y de acuerdo a los lineamientos establecidos por la jurisprudencia del Máximo Tribunal.</w:t>
      </w:r>
    </w:p>
    <w:p w:rsidR="00000000" w:rsidRDefault="00D81571">
      <w:pPr>
        <w:widowControl w:val="0"/>
        <w:suppressAutoHyphens/>
        <w:autoSpaceDE w:val="0"/>
        <w:autoSpaceDN w:val="0"/>
        <w:adjustRightInd w:val="0"/>
        <w:spacing w:before="40" w:after="40" w:line="288" w:lineRule="auto"/>
        <w:ind w:firstLine="300"/>
        <w:jc w:val="both"/>
        <w:rPr>
          <w:rFonts w:ascii="Times" w:hAnsi="Times" w:cs="Times"/>
          <w:color w:val="000000"/>
          <w:sz w:val="24"/>
          <w:szCs w:val="24"/>
        </w:rPr>
      </w:pPr>
      <w:r>
        <w:rPr>
          <w:rFonts w:ascii="Times" w:hAnsi="Times" w:cs="Times"/>
          <w:color w:val="000000"/>
          <w:sz w:val="24"/>
          <w:szCs w:val="24"/>
        </w:rPr>
        <w:t>Sobre el particular, sostuvo que en el caso de autos no se advierte situación de incertidumbre alguna que habilite esta acción, dado que l</w:t>
      </w:r>
      <w:r>
        <w:rPr>
          <w:rFonts w:ascii="Times" w:hAnsi="Times" w:cs="Times"/>
          <w:color w:val="000000"/>
          <w:sz w:val="24"/>
          <w:szCs w:val="24"/>
        </w:rPr>
        <w:t>as leyes comprometidas se encuentran sancionadas de conformidad con los preceptos constitucionales, no existió ni existe actividad administrativa que pueda concretar un agravio a la contribuyente y, por último, esta contaba con un remedio específico para c</w:t>
      </w:r>
      <w:r>
        <w:rPr>
          <w:rFonts w:ascii="Times" w:hAnsi="Times" w:cs="Times"/>
          <w:color w:val="000000"/>
          <w:sz w:val="24"/>
          <w:szCs w:val="24"/>
        </w:rPr>
        <w:t>analizar, a todo evento, su consulta y pretensión.</w:t>
      </w:r>
    </w:p>
    <w:p w:rsidR="00000000" w:rsidRDefault="00D81571">
      <w:pPr>
        <w:widowControl w:val="0"/>
        <w:suppressAutoHyphens/>
        <w:autoSpaceDE w:val="0"/>
        <w:autoSpaceDN w:val="0"/>
        <w:adjustRightInd w:val="0"/>
        <w:spacing w:before="40" w:after="40" w:line="288" w:lineRule="auto"/>
        <w:ind w:firstLine="300"/>
        <w:jc w:val="both"/>
        <w:rPr>
          <w:rFonts w:ascii="Times" w:hAnsi="Times" w:cs="Times"/>
          <w:color w:val="000000"/>
          <w:sz w:val="24"/>
          <w:szCs w:val="24"/>
        </w:rPr>
      </w:pPr>
      <w:r>
        <w:rPr>
          <w:rFonts w:ascii="Times" w:hAnsi="Times" w:cs="Times"/>
          <w:color w:val="000000"/>
          <w:sz w:val="24"/>
          <w:szCs w:val="24"/>
        </w:rPr>
        <w:t>Al respecto, indicó que no puede soslayarse que el actor presentó su declaración jurada del Impuesto a las Ganancias por el período fiscal 2019, sin contemplar la normativa que ataca, es decir, computándos</w:t>
      </w:r>
      <w:r>
        <w:rPr>
          <w:rFonts w:ascii="Times" w:hAnsi="Times" w:cs="Times"/>
          <w:color w:val="000000"/>
          <w:sz w:val="24"/>
          <w:szCs w:val="24"/>
        </w:rPr>
        <w:t xml:space="preserve">e el 100% del ajuste por inflación, y no 1/6 como la habilitaba la ley; por ello, la contribuyente no necesita la </w:t>
      </w:r>
      <w:r>
        <w:rPr>
          <w:rFonts w:ascii="Times" w:hAnsi="Times" w:cs="Times"/>
          <w:color w:val="000000"/>
          <w:sz w:val="24"/>
          <w:szCs w:val="24"/>
        </w:rPr>
        <w:t>“</w:t>
      </w:r>
      <w:r>
        <w:rPr>
          <w:rFonts w:ascii="Times" w:hAnsi="Times" w:cs="Times"/>
          <w:color w:val="000000"/>
          <w:sz w:val="24"/>
          <w:szCs w:val="24"/>
        </w:rPr>
        <w:t>convalidación judicial</w:t>
      </w:r>
      <w:r>
        <w:rPr>
          <w:rFonts w:ascii="Times" w:hAnsi="Times" w:cs="Times"/>
          <w:color w:val="000000"/>
          <w:sz w:val="24"/>
          <w:szCs w:val="24"/>
        </w:rPr>
        <w:t>”</w:t>
      </w:r>
      <w:r>
        <w:rPr>
          <w:rFonts w:ascii="Times" w:hAnsi="Times" w:cs="Times"/>
          <w:color w:val="000000"/>
          <w:sz w:val="24"/>
          <w:szCs w:val="24"/>
        </w:rPr>
        <w:t xml:space="preserve"> de la presentación de la Declaración Jurada efectuada, en tanto no existen en la actualidad derechos o garantías cons</w:t>
      </w:r>
      <w:r>
        <w:rPr>
          <w:rFonts w:ascii="Times" w:hAnsi="Times" w:cs="Times"/>
          <w:color w:val="000000"/>
          <w:sz w:val="24"/>
          <w:szCs w:val="24"/>
        </w:rPr>
        <w:t>titucionales afectados, ni tampoco riesgo inminente que ello ocurra.</w:t>
      </w:r>
    </w:p>
    <w:p w:rsidR="00000000" w:rsidRDefault="00D81571">
      <w:pPr>
        <w:widowControl w:val="0"/>
        <w:suppressAutoHyphens/>
        <w:autoSpaceDE w:val="0"/>
        <w:autoSpaceDN w:val="0"/>
        <w:adjustRightInd w:val="0"/>
        <w:spacing w:before="40" w:after="40" w:line="288" w:lineRule="auto"/>
        <w:ind w:firstLine="300"/>
        <w:jc w:val="both"/>
        <w:rPr>
          <w:rFonts w:ascii="Times" w:hAnsi="Times" w:cs="Times"/>
          <w:color w:val="000000"/>
          <w:sz w:val="24"/>
          <w:szCs w:val="24"/>
        </w:rPr>
      </w:pPr>
      <w:r>
        <w:rPr>
          <w:rFonts w:ascii="Times" w:hAnsi="Times" w:cs="Times"/>
          <w:color w:val="000000"/>
          <w:sz w:val="24"/>
          <w:szCs w:val="24"/>
        </w:rPr>
        <w:t xml:space="preserve">Asimismo, destacó que a la fecha no existe intimación o proceso de fiscalización iniciado </w:t>
      </w:r>
      <w:r>
        <w:rPr>
          <w:rFonts w:ascii="Times" w:hAnsi="Times" w:cs="Times"/>
          <w:color w:val="000000"/>
          <w:sz w:val="24"/>
          <w:szCs w:val="24"/>
        </w:rPr>
        <w:lastRenderedPageBreak/>
        <w:t xml:space="preserve">en su contra, y mucho menos un procedimiento de determinación de oficio, por lo que el pedido de </w:t>
      </w:r>
      <w:r>
        <w:rPr>
          <w:rFonts w:ascii="Times" w:hAnsi="Times" w:cs="Times"/>
          <w:color w:val="000000"/>
          <w:sz w:val="24"/>
          <w:szCs w:val="24"/>
        </w:rPr>
        <w:t>la actora debe ser entendido como una indagación meramente especulativa o consultiva.</w:t>
      </w:r>
    </w:p>
    <w:p w:rsidR="00000000" w:rsidRDefault="00D81571">
      <w:pPr>
        <w:widowControl w:val="0"/>
        <w:suppressAutoHyphens/>
        <w:autoSpaceDE w:val="0"/>
        <w:autoSpaceDN w:val="0"/>
        <w:adjustRightInd w:val="0"/>
        <w:spacing w:before="40" w:after="40" w:line="288" w:lineRule="auto"/>
        <w:ind w:firstLine="300"/>
        <w:jc w:val="both"/>
        <w:rPr>
          <w:rFonts w:ascii="Times" w:hAnsi="Times" w:cs="Times"/>
          <w:color w:val="000000"/>
          <w:sz w:val="24"/>
          <w:szCs w:val="24"/>
        </w:rPr>
      </w:pPr>
      <w:r>
        <w:rPr>
          <w:rFonts w:ascii="Times" w:hAnsi="Times" w:cs="Times"/>
          <w:color w:val="000000"/>
          <w:sz w:val="24"/>
          <w:szCs w:val="24"/>
        </w:rPr>
        <w:t>Por otro lado, sin perjuicio del rechazó de la acción en punto a la inconstitucionalidad esgrimida, hizo referencia a las normas jurídicas cuestionadas, resaltando que el</w:t>
      </w:r>
      <w:r>
        <w:rPr>
          <w:rFonts w:ascii="Times" w:hAnsi="Times" w:cs="Times"/>
          <w:color w:val="000000"/>
          <w:sz w:val="24"/>
          <w:szCs w:val="24"/>
        </w:rPr>
        <w:t xml:space="preserve"> legislador expresamente ha habilitado el ajuste impositivo por inflación en el Título VI de la LIG y que la modificación efectuada por la Ley 27.541 al plexo normativo relativo al ajuste impositivo por inflación, se inscribe y tiene fundamento en la situa</w:t>
      </w:r>
      <w:r>
        <w:rPr>
          <w:rFonts w:ascii="Times" w:hAnsi="Times" w:cs="Times"/>
          <w:color w:val="000000"/>
          <w:sz w:val="24"/>
          <w:szCs w:val="24"/>
        </w:rPr>
        <w:t>ción de emergencia pública que atraviesa nuestro país, y que fuera declarada mediante el artículo 1 de la ley citada.</w:t>
      </w:r>
    </w:p>
    <w:p w:rsidR="00000000" w:rsidRDefault="00D81571">
      <w:pPr>
        <w:widowControl w:val="0"/>
        <w:suppressAutoHyphens/>
        <w:autoSpaceDE w:val="0"/>
        <w:autoSpaceDN w:val="0"/>
        <w:adjustRightInd w:val="0"/>
        <w:spacing w:before="40" w:after="40" w:line="288" w:lineRule="auto"/>
        <w:ind w:firstLine="300"/>
        <w:jc w:val="both"/>
        <w:rPr>
          <w:rFonts w:ascii="Times" w:hAnsi="Times" w:cs="Times"/>
          <w:color w:val="000000"/>
          <w:sz w:val="24"/>
          <w:szCs w:val="24"/>
        </w:rPr>
      </w:pPr>
      <w:r>
        <w:rPr>
          <w:rFonts w:ascii="Times" w:hAnsi="Times" w:cs="Times"/>
          <w:color w:val="000000"/>
          <w:sz w:val="24"/>
          <w:szCs w:val="24"/>
        </w:rPr>
        <w:t>De manera tal, que la modificación al sistema de ajuste por inflación responde a una medida excepcional tomada por el congreso a partir de</w:t>
      </w:r>
      <w:r>
        <w:rPr>
          <w:rFonts w:ascii="Times" w:hAnsi="Times" w:cs="Times"/>
          <w:color w:val="000000"/>
          <w:sz w:val="24"/>
          <w:szCs w:val="24"/>
        </w:rPr>
        <w:t xml:space="preserve"> la extrema situación de emergencia que acaece en el país, cuya justificación y razonabilidad hayan sustento en un contexto coyuntural de extrema dificultad, y que su apreciación constituye un resorte exclusivo del Poder Legislativo y se encuentra vedada, </w:t>
      </w:r>
      <w:r>
        <w:rPr>
          <w:rFonts w:ascii="Times" w:hAnsi="Times" w:cs="Times"/>
          <w:color w:val="000000"/>
          <w:sz w:val="24"/>
          <w:szCs w:val="24"/>
        </w:rPr>
        <w:t>en principio, al Poder Judicial.</w:t>
      </w:r>
    </w:p>
    <w:p w:rsidR="00000000" w:rsidRDefault="00D81571">
      <w:pPr>
        <w:widowControl w:val="0"/>
        <w:suppressAutoHyphens/>
        <w:autoSpaceDE w:val="0"/>
        <w:autoSpaceDN w:val="0"/>
        <w:adjustRightInd w:val="0"/>
        <w:spacing w:before="40" w:after="40" w:line="288" w:lineRule="auto"/>
        <w:ind w:firstLine="300"/>
        <w:jc w:val="both"/>
        <w:rPr>
          <w:rFonts w:ascii="Times" w:hAnsi="Times" w:cs="Times"/>
          <w:color w:val="000000"/>
          <w:sz w:val="24"/>
          <w:szCs w:val="24"/>
        </w:rPr>
      </w:pPr>
      <w:r>
        <w:rPr>
          <w:rFonts w:ascii="Times" w:hAnsi="Times" w:cs="Times"/>
          <w:color w:val="000000"/>
          <w:sz w:val="24"/>
          <w:szCs w:val="24"/>
        </w:rPr>
        <w:t xml:space="preserve">En la misma dirección, sostuvo que la normativa cuestionada no violenta el principio de igualdad, dado que la carga tributaria que el contribuyente debe soportar es un reflejo justo, razonable y proporcional a su capacidad </w:t>
      </w:r>
      <w:r>
        <w:rPr>
          <w:rFonts w:ascii="Times" w:hAnsi="Times" w:cs="Times"/>
          <w:color w:val="000000"/>
          <w:sz w:val="24"/>
          <w:szCs w:val="24"/>
        </w:rPr>
        <w:t>contributiva.</w:t>
      </w:r>
    </w:p>
    <w:p w:rsidR="00000000" w:rsidRDefault="00D81571">
      <w:pPr>
        <w:widowControl w:val="0"/>
        <w:suppressAutoHyphens/>
        <w:autoSpaceDE w:val="0"/>
        <w:autoSpaceDN w:val="0"/>
        <w:adjustRightInd w:val="0"/>
        <w:spacing w:before="40" w:after="40" w:line="288" w:lineRule="auto"/>
        <w:ind w:firstLine="300"/>
        <w:jc w:val="both"/>
        <w:rPr>
          <w:rFonts w:ascii="Times" w:hAnsi="Times" w:cs="Times"/>
          <w:color w:val="000000"/>
          <w:sz w:val="24"/>
          <w:szCs w:val="24"/>
        </w:rPr>
      </w:pPr>
      <w:r>
        <w:rPr>
          <w:rFonts w:ascii="Times" w:hAnsi="Times" w:cs="Times"/>
          <w:color w:val="000000"/>
          <w:sz w:val="24"/>
          <w:szCs w:val="24"/>
        </w:rPr>
        <w:t xml:space="preserve">Finalmente, alegó la falta de demostración de la confiscatoriedad para precisar el agravio al derecho de propiedad que se invoca, el cual entiende es solo conjetural, dogmático e infundado, por no haberse demostrado </w:t>
      </w:r>
      <w:r>
        <w:rPr>
          <w:rFonts w:ascii="Times" w:hAnsi="Times" w:cs="Times"/>
          <w:color w:val="000000"/>
          <w:sz w:val="24"/>
          <w:szCs w:val="24"/>
        </w:rPr>
        <w:t>—</w:t>
      </w:r>
      <w:r>
        <w:rPr>
          <w:rFonts w:ascii="Times" w:hAnsi="Times" w:cs="Times"/>
          <w:color w:val="000000"/>
          <w:sz w:val="24"/>
          <w:szCs w:val="24"/>
        </w:rPr>
        <w:t>conforme doctrina de la CSJN</w:t>
      </w:r>
      <w:r>
        <w:rPr>
          <w:rFonts w:ascii="Times" w:hAnsi="Times" w:cs="Times"/>
          <w:color w:val="000000"/>
          <w:sz w:val="24"/>
          <w:szCs w:val="24"/>
        </w:rPr>
        <w:t>—</w:t>
      </w:r>
      <w:r>
        <w:rPr>
          <w:rFonts w:ascii="Times" w:hAnsi="Times" w:cs="Times"/>
          <w:color w:val="000000"/>
          <w:sz w:val="24"/>
          <w:szCs w:val="24"/>
        </w:rPr>
        <w:t xml:space="preserve"> acabada y categóricamente una violación del derecho pregonado.</w:t>
      </w:r>
    </w:p>
    <w:p w:rsidR="00000000" w:rsidRDefault="00D81571">
      <w:pPr>
        <w:widowControl w:val="0"/>
        <w:suppressAutoHyphens/>
        <w:autoSpaceDE w:val="0"/>
        <w:autoSpaceDN w:val="0"/>
        <w:adjustRightInd w:val="0"/>
        <w:spacing w:before="40" w:after="40" w:line="288" w:lineRule="auto"/>
        <w:ind w:firstLine="300"/>
        <w:jc w:val="both"/>
        <w:rPr>
          <w:rFonts w:ascii="Times" w:hAnsi="Times" w:cs="Times"/>
          <w:color w:val="000000"/>
          <w:sz w:val="24"/>
          <w:szCs w:val="24"/>
        </w:rPr>
      </w:pPr>
      <w:r>
        <w:rPr>
          <w:rFonts w:ascii="Times" w:hAnsi="Times" w:cs="Times"/>
          <w:color w:val="000000"/>
          <w:sz w:val="24"/>
          <w:szCs w:val="24"/>
        </w:rPr>
        <w:t>En ese sentido, señaló que la prueba documental acompañada por el accionante no permite deducir por sí sola la confiscatoriedad del tributo, y que las afirmaciones</w:t>
      </w:r>
      <w:r>
        <w:rPr>
          <w:rFonts w:ascii="Times" w:hAnsi="Times" w:cs="Times"/>
          <w:color w:val="000000"/>
          <w:sz w:val="24"/>
          <w:szCs w:val="24"/>
        </w:rPr>
        <w:t xml:space="preserve"> vertidas en la pericia contable realizada en autos no revisten real gravitación, por tratarse de un dictamen parcial e insuficiente cuyos defectos e inconsistencias (que ahora reitera) fueron oportunamente objeto de impugnaciones de su parte.</w:t>
      </w:r>
    </w:p>
    <w:p w:rsidR="00000000" w:rsidRDefault="00D81571">
      <w:pPr>
        <w:widowControl w:val="0"/>
        <w:suppressAutoHyphens/>
        <w:autoSpaceDE w:val="0"/>
        <w:autoSpaceDN w:val="0"/>
        <w:adjustRightInd w:val="0"/>
        <w:spacing w:before="40" w:after="40" w:line="288" w:lineRule="auto"/>
        <w:ind w:firstLine="300"/>
        <w:jc w:val="both"/>
        <w:rPr>
          <w:rFonts w:ascii="Times" w:hAnsi="Times" w:cs="Times"/>
          <w:color w:val="000000"/>
          <w:sz w:val="24"/>
          <w:szCs w:val="24"/>
        </w:rPr>
      </w:pPr>
      <w:r>
        <w:rPr>
          <w:rFonts w:ascii="Times" w:hAnsi="Times" w:cs="Times"/>
          <w:color w:val="000000"/>
          <w:sz w:val="24"/>
          <w:szCs w:val="24"/>
        </w:rPr>
        <w:t>Concluyendo,</w:t>
      </w:r>
      <w:r>
        <w:rPr>
          <w:rFonts w:ascii="Times" w:hAnsi="Times" w:cs="Times"/>
          <w:color w:val="000000"/>
          <w:sz w:val="24"/>
          <w:szCs w:val="24"/>
        </w:rPr>
        <w:t xml:space="preserve"> en consecuencia, que el hecho de haberse apoyado la a quo en la validez del citado dictamen para fundar su resolución, significa una inversión injustificada de la carga de la prueba que torna arbitraria la sentencia de grado.</w:t>
      </w:r>
    </w:p>
    <w:p w:rsidR="00000000" w:rsidRDefault="00D81571">
      <w:pPr>
        <w:widowControl w:val="0"/>
        <w:suppressAutoHyphens/>
        <w:autoSpaceDE w:val="0"/>
        <w:autoSpaceDN w:val="0"/>
        <w:adjustRightInd w:val="0"/>
        <w:spacing w:before="40" w:after="40" w:line="288" w:lineRule="auto"/>
        <w:ind w:firstLine="300"/>
        <w:jc w:val="both"/>
        <w:rPr>
          <w:rFonts w:ascii="Times" w:hAnsi="Times" w:cs="Times"/>
          <w:color w:val="000000"/>
          <w:sz w:val="24"/>
          <w:szCs w:val="24"/>
        </w:rPr>
      </w:pPr>
      <w:r>
        <w:rPr>
          <w:rFonts w:ascii="Times" w:hAnsi="Times" w:cs="Times"/>
          <w:color w:val="000000"/>
          <w:sz w:val="24"/>
          <w:szCs w:val="24"/>
        </w:rPr>
        <w:t>Finalmente, también cuestionó</w:t>
      </w:r>
      <w:r>
        <w:rPr>
          <w:rFonts w:ascii="Times" w:hAnsi="Times" w:cs="Times"/>
          <w:color w:val="000000"/>
          <w:sz w:val="24"/>
          <w:szCs w:val="24"/>
        </w:rPr>
        <w:t xml:space="preserve"> por altos la regulación de honorarios efectuada en favor del perito contador interviniente.</w:t>
      </w:r>
    </w:p>
    <w:p w:rsidR="00000000" w:rsidRDefault="00D81571">
      <w:pPr>
        <w:widowControl w:val="0"/>
        <w:suppressAutoHyphens/>
        <w:autoSpaceDE w:val="0"/>
        <w:autoSpaceDN w:val="0"/>
        <w:adjustRightInd w:val="0"/>
        <w:spacing w:before="40" w:after="40" w:line="288" w:lineRule="auto"/>
        <w:ind w:firstLine="300"/>
        <w:jc w:val="both"/>
        <w:rPr>
          <w:rFonts w:ascii="Times" w:hAnsi="Times" w:cs="Times"/>
          <w:color w:val="000000"/>
          <w:sz w:val="24"/>
          <w:szCs w:val="24"/>
        </w:rPr>
      </w:pPr>
      <w:r>
        <w:rPr>
          <w:rFonts w:ascii="Times" w:hAnsi="Times" w:cs="Times"/>
          <w:color w:val="000000"/>
          <w:sz w:val="24"/>
          <w:szCs w:val="24"/>
        </w:rPr>
        <w:t>3°) A fs. 154/165 la parte actora contestó el traslado conferido, propiciando que se rechace el recurso interpuesto por la demandada.</w:t>
      </w:r>
    </w:p>
    <w:p w:rsidR="00000000" w:rsidRDefault="00D81571">
      <w:pPr>
        <w:widowControl w:val="0"/>
        <w:suppressAutoHyphens/>
        <w:autoSpaceDE w:val="0"/>
        <w:autoSpaceDN w:val="0"/>
        <w:adjustRightInd w:val="0"/>
        <w:spacing w:before="40" w:after="40" w:line="288" w:lineRule="auto"/>
        <w:ind w:firstLine="300"/>
        <w:jc w:val="both"/>
        <w:rPr>
          <w:rFonts w:ascii="Times" w:hAnsi="Times" w:cs="Times"/>
          <w:color w:val="000000"/>
          <w:sz w:val="24"/>
          <w:szCs w:val="24"/>
        </w:rPr>
      </w:pPr>
      <w:r>
        <w:rPr>
          <w:rFonts w:ascii="Times" w:hAnsi="Times" w:cs="Times"/>
          <w:color w:val="000000"/>
          <w:sz w:val="24"/>
          <w:szCs w:val="24"/>
        </w:rPr>
        <w:t>4°) Entrando a decidir, corre</w:t>
      </w:r>
      <w:r>
        <w:rPr>
          <w:rFonts w:ascii="Times" w:hAnsi="Times" w:cs="Times"/>
          <w:color w:val="000000"/>
          <w:sz w:val="24"/>
          <w:szCs w:val="24"/>
        </w:rPr>
        <w:t>sponde preliminarmente dar tratamiento al primero de los agravios formulados por la demandada, respecto de la improcedencia de la vía elegida por el contribuyente para encausar su pretensión, por entender que no existe una situación de incertidumbre actual</w:t>
      </w:r>
      <w:r>
        <w:rPr>
          <w:rFonts w:ascii="Times" w:hAnsi="Times" w:cs="Times"/>
          <w:color w:val="000000"/>
          <w:sz w:val="24"/>
          <w:szCs w:val="24"/>
        </w:rPr>
        <w:t xml:space="preserve"> real para el actor, en tanto pudo presentar su declaración jurada sin aplicar el diferimiento de sextos y ello a la fecha no fue objeto de cuestionamientos formales por parte del ente recaudador.</w:t>
      </w:r>
    </w:p>
    <w:p w:rsidR="00000000" w:rsidRDefault="00D81571">
      <w:pPr>
        <w:widowControl w:val="0"/>
        <w:suppressAutoHyphens/>
        <w:autoSpaceDE w:val="0"/>
        <w:autoSpaceDN w:val="0"/>
        <w:adjustRightInd w:val="0"/>
        <w:spacing w:before="40" w:after="40" w:line="288" w:lineRule="auto"/>
        <w:ind w:firstLine="300"/>
        <w:jc w:val="both"/>
        <w:rPr>
          <w:rFonts w:ascii="Times" w:hAnsi="Times" w:cs="Times"/>
          <w:color w:val="000000"/>
          <w:sz w:val="24"/>
          <w:szCs w:val="24"/>
        </w:rPr>
      </w:pPr>
      <w:r>
        <w:rPr>
          <w:rFonts w:ascii="Times" w:hAnsi="Times" w:cs="Times"/>
          <w:color w:val="000000"/>
          <w:sz w:val="24"/>
          <w:szCs w:val="24"/>
        </w:rPr>
        <w:t>Al respecto, considero que no asiste razón a la recurrente,</w:t>
      </w:r>
      <w:r>
        <w:rPr>
          <w:rFonts w:ascii="Times" w:hAnsi="Times" w:cs="Times"/>
          <w:color w:val="000000"/>
          <w:sz w:val="24"/>
          <w:szCs w:val="24"/>
        </w:rPr>
        <w:t xml:space="preserve"> toda vez que, si bien es cierto que, </w:t>
      </w:r>
      <w:r>
        <w:rPr>
          <w:rFonts w:ascii="Times" w:hAnsi="Times" w:cs="Times"/>
          <w:color w:val="000000"/>
          <w:sz w:val="24"/>
          <w:szCs w:val="24"/>
        </w:rPr>
        <w:lastRenderedPageBreak/>
        <w:t>de modo habitual, en materia tributaria la lesión al actor se genera por un acto administrativo que afecta uno o más de sus intereses legítimos, de modo directo y concreto (Fallos: 307:1379; 327:2529), también lo es qu</w:t>
      </w:r>
      <w:r>
        <w:rPr>
          <w:rFonts w:ascii="Times" w:hAnsi="Times" w:cs="Times"/>
          <w:color w:val="000000"/>
          <w:sz w:val="24"/>
          <w:szCs w:val="24"/>
        </w:rPr>
        <w:t xml:space="preserve">e </w:t>
      </w:r>
      <w:r>
        <w:rPr>
          <w:rFonts w:ascii="Times" w:hAnsi="Times" w:cs="Times"/>
          <w:color w:val="000000"/>
          <w:sz w:val="24"/>
          <w:szCs w:val="24"/>
        </w:rPr>
        <w:t>“</w:t>
      </w:r>
      <w:r>
        <w:rPr>
          <w:rFonts w:ascii="Times" w:hAnsi="Times" w:cs="Times"/>
          <w:color w:val="000000"/>
          <w:sz w:val="24"/>
          <w:szCs w:val="24"/>
        </w:rPr>
        <w:t>la inexistencia de un acto administrativo no implica, de forma automática, la improcedencia de la acción declarativa</w:t>
      </w:r>
      <w:r>
        <w:rPr>
          <w:rFonts w:ascii="Times" w:hAnsi="Times" w:cs="Times"/>
          <w:color w:val="000000"/>
          <w:sz w:val="24"/>
          <w:szCs w:val="24"/>
        </w:rPr>
        <w:t>”</w:t>
      </w:r>
      <w:r>
        <w:rPr>
          <w:rFonts w:ascii="Times" w:hAnsi="Times" w:cs="Times"/>
          <w:color w:val="000000"/>
          <w:sz w:val="24"/>
          <w:szCs w:val="24"/>
        </w:rPr>
        <w:t>.</w:t>
      </w:r>
    </w:p>
    <w:p w:rsidR="00000000" w:rsidRDefault="00D81571">
      <w:pPr>
        <w:widowControl w:val="0"/>
        <w:suppressAutoHyphens/>
        <w:autoSpaceDE w:val="0"/>
        <w:autoSpaceDN w:val="0"/>
        <w:adjustRightInd w:val="0"/>
        <w:spacing w:before="40" w:after="40" w:line="288" w:lineRule="auto"/>
        <w:ind w:firstLine="300"/>
        <w:jc w:val="both"/>
        <w:rPr>
          <w:rFonts w:ascii="Times" w:hAnsi="Times" w:cs="Times"/>
          <w:color w:val="000000"/>
          <w:sz w:val="24"/>
          <w:szCs w:val="24"/>
        </w:rPr>
      </w:pPr>
      <w:r>
        <w:rPr>
          <w:rFonts w:ascii="Times" w:hAnsi="Times" w:cs="Times"/>
          <w:color w:val="000000"/>
          <w:sz w:val="24"/>
          <w:szCs w:val="24"/>
        </w:rPr>
        <w:t>En el caso concreto, observo que, independientemente de la posibilidad que tuvo el actor de hacer uso de la facultad de presentar su d</w:t>
      </w:r>
      <w:r>
        <w:rPr>
          <w:rFonts w:ascii="Times" w:hAnsi="Times" w:cs="Times"/>
          <w:color w:val="000000"/>
          <w:sz w:val="24"/>
          <w:szCs w:val="24"/>
        </w:rPr>
        <w:t xml:space="preserve">eclaración utilizando el mecanismo de ajuste por inflación que consideraba adecuado </w:t>
      </w:r>
      <w:r>
        <w:rPr>
          <w:rFonts w:ascii="Times" w:hAnsi="Times" w:cs="Times"/>
          <w:color w:val="000000"/>
          <w:sz w:val="24"/>
          <w:szCs w:val="24"/>
        </w:rPr>
        <w:t>—</w:t>
      </w:r>
      <w:r>
        <w:rPr>
          <w:rFonts w:ascii="Times" w:hAnsi="Times" w:cs="Times"/>
          <w:color w:val="000000"/>
          <w:sz w:val="24"/>
          <w:szCs w:val="24"/>
        </w:rPr>
        <w:t>esto es, deduciéndolo en forma total</w:t>
      </w:r>
      <w:r>
        <w:rPr>
          <w:rFonts w:ascii="Times" w:hAnsi="Times" w:cs="Times"/>
          <w:color w:val="000000"/>
          <w:sz w:val="24"/>
          <w:szCs w:val="24"/>
        </w:rPr>
        <w:t>—</w:t>
      </w:r>
      <w:r>
        <w:rPr>
          <w:rFonts w:ascii="Times" w:hAnsi="Times" w:cs="Times"/>
          <w:color w:val="000000"/>
          <w:sz w:val="24"/>
          <w:szCs w:val="24"/>
        </w:rPr>
        <w:t>, y que, efectivamente, por el momento la autoridad administrativa no se ha expedido en forma contraria a su interés, de la sola lectu</w:t>
      </w:r>
      <w:r>
        <w:rPr>
          <w:rFonts w:ascii="Times" w:hAnsi="Times" w:cs="Times"/>
          <w:color w:val="000000"/>
          <w:sz w:val="24"/>
          <w:szCs w:val="24"/>
        </w:rPr>
        <w:t>ra de la actitud asumida en autos al contestar la demanda e interponer el presente recurso, se advierte con claridad la postura de rechazo de la AFIP.</w:t>
      </w:r>
    </w:p>
    <w:p w:rsidR="00000000" w:rsidRDefault="00D81571">
      <w:pPr>
        <w:widowControl w:val="0"/>
        <w:suppressAutoHyphens/>
        <w:autoSpaceDE w:val="0"/>
        <w:autoSpaceDN w:val="0"/>
        <w:adjustRightInd w:val="0"/>
        <w:spacing w:before="40" w:after="40" w:line="288" w:lineRule="auto"/>
        <w:ind w:firstLine="300"/>
        <w:jc w:val="both"/>
        <w:rPr>
          <w:rFonts w:ascii="Times" w:hAnsi="Times" w:cs="Times"/>
          <w:color w:val="000000"/>
          <w:sz w:val="24"/>
          <w:szCs w:val="24"/>
        </w:rPr>
      </w:pPr>
      <w:r>
        <w:rPr>
          <w:rFonts w:ascii="Times" w:hAnsi="Times" w:cs="Times"/>
          <w:color w:val="000000"/>
          <w:sz w:val="24"/>
          <w:szCs w:val="24"/>
        </w:rPr>
        <w:t xml:space="preserve">Así, el Máximo Tribunal ha precisado que </w:t>
      </w:r>
      <w:r>
        <w:rPr>
          <w:rFonts w:ascii="Times" w:hAnsi="Times" w:cs="Times"/>
          <w:color w:val="000000"/>
          <w:sz w:val="24"/>
          <w:szCs w:val="24"/>
        </w:rPr>
        <w:t>“</w:t>
      </w:r>
      <w:r>
        <w:rPr>
          <w:rFonts w:ascii="Times" w:hAnsi="Times" w:cs="Times"/>
          <w:color w:val="000000"/>
          <w:sz w:val="24"/>
          <w:szCs w:val="24"/>
        </w:rPr>
        <w:t>la situación de incertidumbre que afecta el ejercicio de un der</w:t>
      </w:r>
      <w:r>
        <w:rPr>
          <w:rFonts w:ascii="Times" w:hAnsi="Times" w:cs="Times"/>
          <w:color w:val="000000"/>
          <w:sz w:val="24"/>
          <w:szCs w:val="24"/>
        </w:rPr>
        <w:t>echo individual puede derivarse de un contexto normativo o administrativo que el peticionante puede tener legítimo interés en esclarecer de forma inmediata, sin estar obligado a propiciar o soportar un acto administrativo que concrete su agravio. Ello pued</w:t>
      </w:r>
      <w:r>
        <w:rPr>
          <w:rFonts w:ascii="Times" w:hAnsi="Times" w:cs="Times"/>
          <w:color w:val="000000"/>
          <w:sz w:val="24"/>
          <w:szCs w:val="24"/>
        </w:rPr>
        <w:t>e darse, por ejemplo, cuando en el tiempo previo al acto administrativo que concretaría el agravio, el derecho que el actor busca proteger se encuentra de hecho negado o cuando el costo en que debe incurrir durante dicho tiempo implica en la práctica la ne</w:t>
      </w:r>
      <w:r>
        <w:rPr>
          <w:rFonts w:ascii="Times" w:hAnsi="Times" w:cs="Times"/>
          <w:color w:val="000000"/>
          <w:sz w:val="24"/>
          <w:szCs w:val="24"/>
        </w:rPr>
        <w:t>gación del derecho que busca proteger. Sin embargo, en casos de esta naturaleza es el actor quien debe acreditar de qué modo esa incertidumbre afecta sus derechos, a través de la exposición de los presupuestos de la acción y la demostración de que concurre</w:t>
      </w:r>
      <w:r>
        <w:rPr>
          <w:rFonts w:ascii="Times" w:hAnsi="Times" w:cs="Times"/>
          <w:color w:val="000000"/>
          <w:sz w:val="24"/>
          <w:szCs w:val="24"/>
        </w:rPr>
        <w:t>n en el caso. Así, debe hacer manifiesta la existencia de una actividad o un contexto normativo que, en forma actual, ponga en peligro el o los derechos invocados o les cause lesión con concreción suficiente para justificar la actuación del Poder Judicial</w:t>
      </w:r>
      <w:r>
        <w:rPr>
          <w:rFonts w:ascii="Times" w:hAnsi="Times" w:cs="Times"/>
          <w:color w:val="000000"/>
          <w:sz w:val="24"/>
          <w:szCs w:val="24"/>
        </w:rPr>
        <w:t>”</w:t>
      </w:r>
      <w:r>
        <w:rPr>
          <w:rFonts w:ascii="Times" w:hAnsi="Times" w:cs="Times"/>
          <w:color w:val="000000"/>
          <w:sz w:val="24"/>
          <w:szCs w:val="24"/>
        </w:rPr>
        <w:t xml:space="preserve"> (CSJN, F. 237 L. REX </w:t>
      </w:r>
      <w:r>
        <w:rPr>
          <w:rFonts w:ascii="Times" w:hAnsi="Times" w:cs="Times"/>
          <w:color w:val="000000"/>
          <w:sz w:val="24"/>
          <w:szCs w:val="24"/>
        </w:rPr>
        <w:t>“</w:t>
      </w:r>
      <w:r>
        <w:rPr>
          <w:rFonts w:ascii="Times" w:hAnsi="Times" w:cs="Times"/>
          <w:color w:val="000000"/>
          <w:sz w:val="24"/>
          <w:szCs w:val="24"/>
        </w:rPr>
        <w:t>Festival de Doma y folklore c. Estado Nacional s/ acción meramente declarativa de derecho</w:t>
      </w:r>
      <w:r>
        <w:rPr>
          <w:rFonts w:ascii="Times" w:hAnsi="Times" w:cs="Times"/>
          <w:color w:val="000000"/>
          <w:sz w:val="24"/>
          <w:szCs w:val="24"/>
        </w:rPr>
        <w:t>”</w:t>
      </w:r>
      <w:r>
        <w:rPr>
          <w:rFonts w:ascii="Times" w:hAnsi="Times" w:cs="Times"/>
          <w:color w:val="000000"/>
          <w:sz w:val="24"/>
          <w:szCs w:val="24"/>
        </w:rPr>
        <w:t>, sentencia del 20/02/2018, considerando 9°, Fallos: 341:101).</w:t>
      </w:r>
    </w:p>
    <w:p w:rsidR="00000000" w:rsidRDefault="00D81571">
      <w:pPr>
        <w:widowControl w:val="0"/>
        <w:suppressAutoHyphens/>
        <w:autoSpaceDE w:val="0"/>
        <w:autoSpaceDN w:val="0"/>
        <w:adjustRightInd w:val="0"/>
        <w:spacing w:before="40" w:after="40" w:line="288" w:lineRule="auto"/>
        <w:ind w:firstLine="300"/>
        <w:jc w:val="both"/>
        <w:rPr>
          <w:rFonts w:ascii="Times" w:hAnsi="Times" w:cs="Times"/>
          <w:color w:val="000000"/>
          <w:sz w:val="24"/>
          <w:szCs w:val="24"/>
        </w:rPr>
      </w:pPr>
      <w:r>
        <w:rPr>
          <w:rFonts w:ascii="Times" w:hAnsi="Times" w:cs="Times"/>
          <w:color w:val="000000"/>
          <w:sz w:val="24"/>
          <w:szCs w:val="24"/>
        </w:rPr>
        <w:t>Extremos que estimo han sido debidamente acreditados en autos por el actor, en t</w:t>
      </w:r>
      <w:r>
        <w:rPr>
          <w:rFonts w:ascii="Times" w:hAnsi="Times" w:cs="Times"/>
          <w:color w:val="000000"/>
          <w:sz w:val="24"/>
          <w:szCs w:val="24"/>
        </w:rPr>
        <w:t xml:space="preserve">anto, al promover la presente acción, se explicitaron los motivos por los que </w:t>
      </w:r>
      <w:r>
        <w:rPr>
          <w:rFonts w:ascii="Times" w:hAnsi="Times" w:cs="Times"/>
          <w:color w:val="000000"/>
          <w:sz w:val="24"/>
          <w:szCs w:val="24"/>
        </w:rPr>
        <w:t>—</w:t>
      </w:r>
      <w:r>
        <w:rPr>
          <w:rFonts w:ascii="Times" w:hAnsi="Times" w:cs="Times"/>
          <w:color w:val="000000"/>
          <w:sz w:val="24"/>
          <w:szCs w:val="24"/>
        </w:rPr>
        <w:t>con sustento en el informe suscripto por su profesional contable</w:t>
      </w:r>
      <w:r>
        <w:rPr>
          <w:rFonts w:ascii="Times" w:hAnsi="Times" w:cs="Times"/>
          <w:color w:val="000000"/>
          <w:sz w:val="24"/>
          <w:szCs w:val="24"/>
        </w:rPr>
        <w:t>—</w:t>
      </w:r>
      <w:r>
        <w:rPr>
          <w:rFonts w:ascii="Times" w:hAnsi="Times" w:cs="Times"/>
          <w:color w:val="000000"/>
          <w:sz w:val="24"/>
          <w:szCs w:val="24"/>
        </w:rPr>
        <w:t xml:space="preserve"> la prohibición de aplicar el ajuste por inflación en su totalidad al período fiscal 2019 derivaría en la determ</w:t>
      </w:r>
      <w:r>
        <w:rPr>
          <w:rFonts w:ascii="Times" w:hAnsi="Times" w:cs="Times"/>
          <w:color w:val="000000"/>
          <w:sz w:val="24"/>
          <w:szCs w:val="24"/>
        </w:rPr>
        <w:t xml:space="preserve">inación de un tributo confiscatorio (en línea con los parámetros establecidos en el caso </w:t>
      </w:r>
      <w:r>
        <w:rPr>
          <w:rFonts w:ascii="Times" w:hAnsi="Times" w:cs="Times"/>
          <w:color w:val="000000"/>
          <w:sz w:val="24"/>
          <w:szCs w:val="24"/>
        </w:rPr>
        <w:t>“</w:t>
      </w:r>
      <w:r>
        <w:rPr>
          <w:rFonts w:ascii="Times" w:hAnsi="Times" w:cs="Times"/>
          <w:color w:val="000000"/>
          <w:sz w:val="24"/>
          <w:szCs w:val="24"/>
        </w:rPr>
        <w:t>Candy</w:t>
      </w:r>
      <w:r>
        <w:rPr>
          <w:rFonts w:ascii="Times" w:hAnsi="Times" w:cs="Times"/>
          <w:color w:val="000000"/>
          <w:sz w:val="24"/>
          <w:szCs w:val="24"/>
        </w:rPr>
        <w:t>”</w:t>
      </w:r>
      <w:r>
        <w:rPr>
          <w:rFonts w:ascii="Times" w:hAnsi="Times" w:cs="Times"/>
          <w:color w:val="000000"/>
          <w:sz w:val="24"/>
          <w:szCs w:val="24"/>
        </w:rPr>
        <w:t xml:space="preserve"> de la CSJN), con un alícuota efectiva del 78,43% </w:t>
      </w:r>
      <w:r>
        <w:rPr>
          <w:rFonts w:ascii="Times" w:hAnsi="Times" w:cs="Times"/>
          <w:color w:val="000000"/>
          <w:sz w:val="24"/>
          <w:szCs w:val="24"/>
        </w:rPr>
        <w:t>—</w:t>
      </w:r>
      <w:r>
        <w:rPr>
          <w:rFonts w:ascii="Times" w:hAnsi="Times" w:cs="Times"/>
          <w:color w:val="000000"/>
          <w:sz w:val="24"/>
          <w:szCs w:val="24"/>
        </w:rPr>
        <w:t>a diferencia del 28,45% destacado por el a quo</w:t>
      </w:r>
      <w:r>
        <w:rPr>
          <w:rFonts w:ascii="Times" w:hAnsi="Times" w:cs="Times"/>
          <w:color w:val="000000"/>
          <w:sz w:val="24"/>
          <w:szCs w:val="24"/>
        </w:rPr>
        <w:t>—</w:t>
      </w:r>
      <w:r>
        <w:rPr>
          <w:rFonts w:ascii="Times" w:hAnsi="Times" w:cs="Times"/>
          <w:color w:val="000000"/>
          <w:sz w:val="24"/>
          <w:szCs w:val="24"/>
        </w:rPr>
        <w:t xml:space="preserve">; que en definitiva también tendría repercusión sobre el pago </w:t>
      </w:r>
      <w:r>
        <w:rPr>
          <w:rFonts w:ascii="Times" w:hAnsi="Times" w:cs="Times"/>
          <w:color w:val="000000"/>
          <w:sz w:val="24"/>
          <w:szCs w:val="24"/>
        </w:rPr>
        <w:t>de los anticipos de ganancia del año siguiente.</w:t>
      </w:r>
    </w:p>
    <w:p w:rsidR="00000000" w:rsidRDefault="00D81571">
      <w:pPr>
        <w:widowControl w:val="0"/>
        <w:suppressAutoHyphens/>
        <w:autoSpaceDE w:val="0"/>
        <w:autoSpaceDN w:val="0"/>
        <w:adjustRightInd w:val="0"/>
        <w:spacing w:before="40" w:after="40" w:line="288" w:lineRule="auto"/>
        <w:ind w:firstLine="300"/>
        <w:jc w:val="both"/>
        <w:rPr>
          <w:rFonts w:ascii="Times" w:hAnsi="Times" w:cs="Times"/>
          <w:color w:val="000000"/>
          <w:sz w:val="24"/>
          <w:szCs w:val="24"/>
        </w:rPr>
      </w:pPr>
      <w:r>
        <w:rPr>
          <w:rFonts w:ascii="Times" w:hAnsi="Times" w:cs="Times"/>
          <w:color w:val="000000"/>
          <w:sz w:val="24"/>
          <w:szCs w:val="24"/>
        </w:rPr>
        <w:t>Todo lo cual, torna procedente el criterio de la CSJN citado precedentemente en cuanto a la inconveniencia de que el contribuyente se vea obligado a esperar el eventual dictado de un acto administrativo que c</w:t>
      </w:r>
      <w:r>
        <w:rPr>
          <w:rFonts w:ascii="Times" w:hAnsi="Times" w:cs="Times"/>
          <w:color w:val="000000"/>
          <w:sz w:val="24"/>
          <w:szCs w:val="24"/>
        </w:rPr>
        <w:t>oncrete su agravio, evidenciando que la incertidumbre sobre la aplicación del mecanismo de reajuste por inflación para el período fiscal 2019 afecta claramente sus derechos.</w:t>
      </w:r>
    </w:p>
    <w:p w:rsidR="00000000" w:rsidRDefault="00D81571">
      <w:pPr>
        <w:widowControl w:val="0"/>
        <w:suppressAutoHyphens/>
        <w:autoSpaceDE w:val="0"/>
        <w:autoSpaceDN w:val="0"/>
        <w:adjustRightInd w:val="0"/>
        <w:spacing w:before="40" w:after="40" w:line="288" w:lineRule="auto"/>
        <w:ind w:firstLine="300"/>
        <w:jc w:val="both"/>
        <w:rPr>
          <w:rFonts w:ascii="Times" w:hAnsi="Times" w:cs="Times"/>
          <w:color w:val="000000"/>
          <w:sz w:val="24"/>
          <w:szCs w:val="24"/>
        </w:rPr>
      </w:pPr>
      <w:r>
        <w:rPr>
          <w:rFonts w:ascii="Times" w:hAnsi="Times" w:cs="Times"/>
          <w:color w:val="000000"/>
          <w:sz w:val="24"/>
          <w:szCs w:val="24"/>
        </w:rPr>
        <w:t>5°) Sentado lo expuesto, ingresando en el análisis del agravio vinculado a la cons</w:t>
      </w:r>
      <w:r>
        <w:rPr>
          <w:rFonts w:ascii="Times" w:hAnsi="Times" w:cs="Times"/>
          <w:color w:val="000000"/>
          <w:sz w:val="24"/>
          <w:szCs w:val="24"/>
        </w:rPr>
        <w:t>titucionalidad de las normas en juego, cabe señalar, que del análisis de la normativa bajo estudio y de las versiones de las partes surge que en el presente no se encuentran controvertida la posibilidad o no de aplicar mecanismos de ajuste por inflación pa</w:t>
      </w:r>
      <w:r>
        <w:rPr>
          <w:rFonts w:ascii="Times" w:hAnsi="Times" w:cs="Times"/>
          <w:color w:val="000000"/>
          <w:sz w:val="24"/>
          <w:szCs w:val="24"/>
        </w:rPr>
        <w:t>ra la determinación del impuesto a las ganancias previstos en la ley 27.430, sino que, la cuestión a dilucidar consiste en determinar si, en razón de la prueba producida en autos, las modificaciones introducidas primero por la ley 27.468 y luego por la 27.</w:t>
      </w:r>
      <w:r>
        <w:rPr>
          <w:rFonts w:ascii="Times" w:hAnsi="Times" w:cs="Times"/>
          <w:color w:val="000000"/>
          <w:sz w:val="24"/>
          <w:szCs w:val="24"/>
        </w:rPr>
        <w:t>541, que limitaron el modo en el que dicho ajuste podía ser utilizado en el año en curso, implican una reglamentación inconstitucional que resulta confiscatoria del derecho de propiedad del contribuyente.</w:t>
      </w:r>
    </w:p>
    <w:p w:rsidR="00000000" w:rsidRDefault="00D81571">
      <w:pPr>
        <w:widowControl w:val="0"/>
        <w:suppressAutoHyphens/>
        <w:autoSpaceDE w:val="0"/>
        <w:autoSpaceDN w:val="0"/>
        <w:adjustRightInd w:val="0"/>
        <w:spacing w:before="40" w:after="40" w:line="288" w:lineRule="auto"/>
        <w:ind w:firstLine="300"/>
        <w:jc w:val="both"/>
        <w:rPr>
          <w:rFonts w:ascii="Times" w:hAnsi="Times" w:cs="Times"/>
          <w:color w:val="000000"/>
          <w:sz w:val="24"/>
          <w:szCs w:val="24"/>
        </w:rPr>
      </w:pPr>
      <w:r>
        <w:rPr>
          <w:rFonts w:ascii="Times" w:hAnsi="Times" w:cs="Times"/>
          <w:color w:val="000000"/>
          <w:sz w:val="24"/>
          <w:szCs w:val="24"/>
        </w:rPr>
        <w:t>Es decir, que si bien la cuestión vinculada a la co</w:t>
      </w:r>
      <w:r>
        <w:rPr>
          <w:rFonts w:ascii="Times" w:hAnsi="Times" w:cs="Times"/>
          <w:color w:val="000000"/>
          <w:sz w:val="24"/>
          <w:szCs w:val="24"/>
        </w:rPr>
        <w:t xml:space="preserve">nfiscatoriedad impositiva resulta sustancialmente análoga a la decidida por la CSJN en el precedente </w:t>
      </w:r>
      <w:r>
        <w:rPr>
          <w:rFonts w:ascii="Times" w:hAnsi="Times" w:cs="Times"/>
          <w:color w:val="000000"/>
          <w:sz w:val="24"/>
          <w:szCs w:val="24"/>
        </w:rPr>
        <w:t>“</w:t>
      </w:r>
      <w:r>
        <w:rPr>
          <w:rFonts w:ascii="Times" w:hAnsi="Times" w:cs="Times"/>
          <w:color w:val="000000"/>
          <w:sz w:val="24"/>
          <w:szCs w:val="24"/>
        </w:rPr>
        <w:t>Candy</w:t>
      </w:r>
      <w:r>
        <w:rPr>
          <w:rFonts w:ascii="Times" w:hAnsi="Times" w:cs="Times"/>
          <w:color w:val="000000"/>
          <w:sz w:val="24"/>
          <w:szCs w:val="24"/>
        </w:rPr>
        <w:t>”</w:t>
      </w:r>
      <w:r>
        <w:rPr>
          <w:rFonts w:ascii="Times" w:hAnsi="Times" w:cs="Times"/>
          <w:color w:val="000000"/>
          <w:sz w:val="24"/>
          <w:szCs w:val="24"/>
        </w:rPr>
        <w:t xml:space="preserve"> (Fallos: 332:1571), consideró oportuno destacar, que la misma tiene lugar en un marco normativo diametralmente opuesto al existente al momento del </w:t>
      </w:r>
      <w:r>
        <w:rPr>
          <w:rFonts w:ascii="Times" w:hAnsi="Times" w:cs="Times"/>
          <w:color w:val="000000"/>
          <w:sz w:val="24"/>
          <w:szCs w:val="24"/>
        </w:rPr>
        <w:t>citado fallo, en tanto allí, el contribuyente discutía en su origen la constitucionalidad de la prohibición de realizar ajustes por inflación que imperaba en la materia, mientras que, con el actual sistema vigente, dicha herramienta de reajuste se encuentr</w:t>
      </w:r>
      <w:r>
        <w:rPr>
          <w:rFonts w:ascii="Times" w:hAnsi="Times" w:cs="Times"/>
          <w:color w:val="000000"/>
          <w:sz w:val="24"/>
          <w:szCs w:val="24"/>
        </w:rPr>
        <w:t>a expresamente reconocida en nuestra normativa, aunque limitada en cuanto a la porción que puede ser deducida en cada período fiscal (1/6). Siendo esta última restricción la que se pretende tachar de inconstitucional.</w:t>
      </w:r>
    </w:p>
    <w:p w:rsidR="00000000" w:rsidRDefault="00D81571">
      <w:pPr>
        <w:widowControl w:val="0"/>
        <w:suppressAutoHyphens/>
        <w:autoSpaceDE w:val="0"/>
        <w:autoSpaceDN w:val="0"/>
        <w:adjustRightInd w:val="0"/>
        <w:spacing w:before="40" w:after="40" w:line="288" w:lineRule="auto"/>
        <w:ind w:firstLine="300"/>
        <w:jc w:val="both"/>
        <w:rPr>
          <w:rFonts w:ascii="Times" w:hAnsi="Times" w:cs="Times"/>
          <w:color w:val="000000"/>
          <w:sz w:val="24"/>
          <w:szCs w:val="24"/>
        </w:rPr>
      </w:pPr>
      <w:r>
        <w:rPr>
          <w:rFonts w:ascii="Times" w:hAnsi="Times" w:cs="Times"/>
          <w:color w:val="000000"/>
          <w:sz w:val="24"/>
          <w:szCs w:val="24"/>
        </w:rPr>
        <w:t>El contribuyente no discute en autos e</w:t>
      </w:r>
      <w:r>
        <w:rPr>
          <w:rFonts w:ascii="Times" w:hAnsi="Times" w:cs="Times"/>
          <w:color w:val="000000"/>
          <w:sz w:val="24"/>
          <w:szCs w:val="24"/>
        </w:rPr>
        <w:t xml:space="preserve">l procedimiento político constitucional seguido para el dictado de las normas cuestionadas, así como tampoco, los fundamentos relativos a la situación de emergencia pública que pudieron ser tenidos en cuenta para su promulgación invocados como agravio por </w:t>
      </w:r>
      <w:r>
        <w:rPr>
          <w:rFonts w:ascii="Times" w:hAnsi="Times" w:cs="Times"/>
          <w:color w:val="000000"/>
          <w:sz w:val="24"/>
          <w:szCs w:val="24"/>
        </w:rPr>
        <w:t>la demandada, dado que ello sí implicaría una intromisión del Poder Judicial en una discusión que ya fue suficientemente efectuada y resuelta en el seno de los poderes democráticos; sino que, por el contrario, el planteo de constitucionalidad promovido, ap</w:t>
      </w:r>
      <w:r>
        <w:rPr>
          <w:rFonts w:ascii="Times" w:hAnsi="Times" w:cs="Times"/>
          <w:color w:val="000000"/>
          <w:sz w:val="24"/>
          <w:szCs w:val="24"/>
        </w:rPr>
        <w:t>unta específicamente a la aplicación de la mencionada reglamentación a un caso concreto, jurídica y temporalmente determinado, con un descripción detallada de la afectación.</w:t>
      </w:r>
    </w:p>
    <w:p w:rsidR="00000000" w:rsidRDefault="00D81571">
      <w:pPr>
        <w:widowControl w:val="0"/>
        <w:suppressAutoHyphens/>
        <w:autoSpaceDE w:val="0"/>
        <w:autoSpaceDN w:val="0"/>
        <w:adjustRightInd w:val="0"/>
        <w:spacing w:before="40" w:after="40" w:line="288" w:lineRule="auto"/>
        <w:ind w:firstLine="300"/>
        <w:jc w:val="both"/>
        <w:rPr>
          <w:rFonts w:ascii="Times" w:hAnsi="Times" w:cs="Times"/>
          <w:color w:val="000000"/>
          <w:sz w:val="24"/>
          <w:szCs w:val="24"/>
        </w:rPr>
      </w:pPr>
      <w:r>
        <w:rPr>
          <w:rFonts w:ascii="Times" w:hAnsi="Times" w:cs="Times"/>
          <w:color w:val="000000"/>
          <w:sz w:val="24"/>
          <w:szCs w:val="24"/>
        </w:rPr>
        <w:t>Ello así, debido a que, conforme el planteo efectuado por la parte actora, la inci</w:t>
      </w:r>
      <w:r>
        <w:rPr>
          <w:rFonts w:ascii="Times" w:hAnsi="Times" w:cs="Times"/>
          <w:color w:val="000000"/>
          <w:sz w:val="24"/>
          <w:szCs w:val="24"/>
        </w:rPr>
        <w:t>dencia del monto que arroja el cálculo del impuesto a las ganancias siguiendo los lineamientos del sistema actual (con diferimiento de sextos), respecto de la base imponible que se obtiene del cálculo de la ganancia sujeta a impuesto para el ejercicio fisc</w:t>
      </w:r>
      <w:r>
        <w:rPr>
          <w:rFonts w:ascii="Times" w:hAnsi="Times" w:cs="Times"/>
          <w:color w:val="000000"/>
          <w:sz w:val="24"/>
          <w:szCs w:val="24"/>
        </w:rPr>
        <w:t>al 2019 con la deducción del total del ajuste por inflación correspondiente a dicho período, arroja como resultado final una alícuota efectiva del 78,43%.</w:t>
      </w:r>
    </w:p>
    <w:p w:rsidR="00000000" w:rsidRDefault="00D81571">
      <w:pPr>
        <w:widowControl w:val="0"/>
        <w:suppressAutoHyphens/>
        <w:autoSpaceDE w:val="0"/>
        <w:autoSpaceDN w:val="0"/>
        <w:adjustRightInd w:val="0"/>
        <w:spacing w:before="40" w:after="40" w:line="288" w:lineRule="auto"/>
        <w:ind w:firstLine="300"/>
        <w:jc w:val="both"/>
        <w:rPr>
          <w:rFonts w:ascii="Times" w:hAnsi="Times" w:cs="Times"/>
          <w:color w:val="000000"/>
          <w:sz w:val="24"/>
          <w:szCs w:val="24"/>
        </w:rPr>
      </w:pPr>
      <w:r>
        <w:rPr>
          <w:rFonts w:ascii="Times" w:hAnsi="Times" w:cs="Times"/>
          <w:color w:val="000000"/>
          <w:sz w:val="24"/>
          <w:szCs w:val="24"/>
        </w:rPr>
        <w:t>De modo que, es sobre dicha regulación puntualmente vinculada al fraccionamiento y diferimiento del a</w:t>
      </w:r>
      <w:r>
        <w:rPr>
          <w:rFonts w:ascii="Times" w:hAnsi="Times" w:cs="Times"/>
          <w:color w:val="000000"/>
          <w:sz w:val="24"/>
          <w:szCs w:val="24"/>
        </w:rPr>
        <w:t>juste por inflación sobre la cual debe recaer el análisis de constitucionalidad planteado, a fin de valorar si efectivamente se ha demostrado en autos que la aplicación de tal reglamentación en el caso concreto vulnera el derecho de propiedad del accionant</w:t>
      </w:r>
      <w:r>
        <w:rPr>
          <w:rFonts w:ascii="Times" w:hAnsi="Times" w:cs="Times"/>
          <w:color w:val="000000"/>
          <w:sz w:val="24"/>
          <w:szCs w:val="24"/>
        </w:rPr>
        <w:t>e en violación al principio de no confiscatoriedad, sin que ello signifique pronunciarse respecto de la validez de la norma en forma abstracta para todos los períodos subsiguientes del mismo contribuyente y, mucho menos, con efecto erga omnes.</w:t>
      </w:r>
    </w:p>
    <w:p w:rsidR="00000000" w:rsidRDefault="00D81571">
      <w:pPr>
        <w:widowControl w:val="0"/>
        <w:suppressAutoHyphens/>
        <w:autoSpaceDE w:val="0"/>
        <w:autoSpaceDN w:val="0"/>
        <w:adjustRightInd w:val="0"/>
        <w:spacing w:before="40" w:after="40" w:line="288" w:lineRule="auto"/>
        <w:ind w:firstLine="300"/>
        <w:jc w:val="both"/>
        <w:rPr>
          <w:rFonts w:ascii="Times" w:hAnsi="Times" w:cs="Times"/>
          <w:color w:val="000000"/>
          <w:sz w:val="24"/>
          <w:szCs w:val="24"/>
        </w:rPr>
      </w:pPr>
      <w:r>
        <w:rPr>
          <w:rFonts w:ascii="Times" w:hAnsi="Times" w:cs="Times"/>
          <w:color w:val="000000"/>
          <w:sz w:val="24"/>
          <w:szCs w:val="24"/>
        </w:rPr>
        <w:t>6°) Bajo est</w:t>
      </w:r>
      <w:r>
        <w:rPr>
          <w:rFonts w:ascii="Times" w:hAnsi="Times" w:cs="Times"/>
          <w:color w:val="000000"/>
          <w:sz w:val="24"/>
          <w:szCs w:val="24"/>
        </w:rPr>
        <w:t>a perspectiva, resulta determinante entonces, evaluar el agravio final relativo a la falta de demostración de la confiscatoriedad alegada por el actor y la arbitrariedad de la interpretación efectuada por la a quo en la sentencia recurrida, dado que la cue</w:t>
      </w:r>
      <w:r>
        <w:rPr>
          <w:rFonts w:ascii="Times" w:hAnsi="Times" w:cs="Times"/>
          <w:color w:val="000000"/>
          <w:sz w:val="24"/>
          <w:szCs w:val="24"/>
        </w:rPr>
        <w:t xml:space="preserve">stión a resolver se centra entonces en dilucidar si los parámetros establecidos por la Corte Suprema de Justicia de la Nación en el precedente </w:t>
      </w:r>
      <w:r>
        <w:rPr>
          <w:rFonts w:ascii="Times" w:hAnsi="Times" w:cs="Times"/>
          <w:color w:val="000000"/>
          <w:sz w:val="24"/>
          <w:szCs w:val="24"/>
        </w:rPr>
        <w:t>“</w:t>
      </w:r>
      <w:r>
        <w:rPr>
          <w:rFonts w:ascii="Times" w:hAnsi="Times" w:cs="Times"/>
          <w:color w:val="000000"/>
          <w:sz w:val="24"/>
          <w:szCs w:val="24"/>
        </w:rPr>
        <w:t>Candy</w:t>
      </w:r>
      <w:r>
        <w:rPr>
          <w:rFonts w:ascii="Times" w:hAnsi="Times" w:cs="Times"/>
          <w:color w:val="000000"/>
          <w:sz w:val="24"/>
          <w:szCs w:val="24"/>
        </w:rPr>
        <w:t>”</w:t>
      </w:r>
      <w:r>
        <w:rPr>
          <w:rFonts w:ascii="Times" w:hAnsi="Times" w:cs="Times"/>
          <w:color w:val="000000"/>
          <w:sz w:val="24"/>
          <w:szCs w:val="24"/>
        </w:rPr>
        <w:t xml:space="preserve"> (Fallos: 332:1571) resultan de aplicación al caso planteado por la empresa actora.</w:t>
      </w:r>
    </w:p>
    <w:p w:rsidR="00000000" w:rsidRDefault="00D81571">
      <w:pPr>
        <w:widowControl w:val="0"/>
        <w:suppressAutoHyphens/>
        <w:autoSpaceDE w:val="0"/>
        <w:autoSpaceDN w:val="0"/>
        <w:adjustRightInd w:val="0"/>
        <w:spacing w:before="40" w:after="40" w:line="288" w:lineRule="auto"/>
        <w:ind w:firstLine="300"/>
        <w:jc w:val="both"/>
        <w:rPr>
          <w:rFonts w:ascii="Times" w:hAnsi="Times" w:cs="Times"/>
          <w:color w:val="000000"/>
          <w:sz w:val="24"/>
          <w:szCs w:val="24"/>
        </w:rPr>
      </w:pPr>
      <w:r>
        <w:rPr>
          <w:rFonts w:ascii="Times" w:hAnsi="Times" w:cs="Times"/>
          <w:color w:val="000000"/>
          <w:sz w:val="24"/>
          <w:szCs w:val="24"/>
        </w:rPr>
        <w:t xml:space="preserve">En dicha oportunidad, </w:t>
      </w:r>
      <w:r>
        <w:rPr>
          <w:rFonts w:ascii="Times" w:hAnsi="Times" w:cs="Times"/>
          <w:color w:val="000000"/>
          <w:sz w:val="24"/>
          <w:szCs w:val="24"/>
        </w:rPr>
        <w:t xml:space="preserve">el Máximo Tribunal sostuvo que </w:t>
      </w:r>
      <w:r>
        <w:rPr>
          <w:rFonts w:ascii="Times" w:hAnsi="Times" w:cs="Times"/>
          <w:color w:val="000000"/>
          <w:sz w:val="24"/>
          <w:szCs w:val="24"/>
        </w:rPr>
        <w:t>“</w:t>
      </w:r>
      <w:r>
        <w:rPr>
          <w:rFonts w:ascii="Times" w:hAnsi="Times" w:cs="Times"/>
          <w:color w:val="000000"/>
          <w:sz w:val="24"/>
          <w:szCs w:val="24"/>
        </w:rPr>
        <w:t>...si bien el mero cotejo entre la liquidación de la ganancia neta sujeta al tributo efectuada sin el ajuste por inflación, y el importe que resulta de aplicar a tal fin el referido mecanismo no es apto para acreditar una af</w:t>
      </w:r>
      <w:r>
        <w:rPr>
          <w:rFonts w:ascii="Times" w:hAnsi="Times" w:cs="Times"/>
          <w:color w:val="000000"/>
          <w:sz w:val="24"/>
          <w:szCs w:val="24"/>
        </w:rPr>
        <w:t xml:space="preserve">ectación al derecho de propiedad (confr. causa citada </w:t>
      </w:r>
      <w:r>
        <w:rPr>
          <w:rFonts w:ascii="Times" w:hAnsi="Times" w:cs="Times"/>
          <w:color w:val="000000"/>
          <w:sz w:val="24"/>
          <w:szCs w:val="24"/>
        </w:rPr>
        <w:t>‘</w:t>
      </w:r>
      <w:r>
        <w:rPr>
          <w:rFonts w:ascii="Times" w:hAnsi="Times" w:cs="Times"/>
          <w:color w:val="000000"/>
          <w:sz w:val="24"/>
          <w:szCs w:val="24"/>
        </w:rPr>
        <w:t>Santiago Dugan Trocello</w:t>
      </w:r>
      <w:r>
        <w:rPr>
          <w:rFonts w:ascii="Times" w:hAnsi="Times" w:cs="Times"/>
          <w:color w:val="000000"/>
          <w:sz w:val="24"/>
          <w:szCs w:val="24"/>
        </w:rPr>
        <w:t>’</w:t>
      </w:r>
      <w:r>
        <w:rPr>
          <w:rFonts w:ascii="Times" w:hAnsi="Times" w:cs="Times"/>
          <w:color w:val="000000"/>
          <w:sz w:val="24"/>
          <w:szCs w:val="24"/>
        </w:rPr>
        <w:t>), ello no debe entenderse como excluyente de la posibilidad de que se configure un supuesto de confiscatoriedad si entre una y otra suma se presenta una desproporción de magnit</w:t>
      </w:r>
      <w:r>
        <w:rPr>
          <w:rFonts w:ascii="Times" w:hAnsi="Times" w:cs="Times"/>
          <w:color w:val="000000"/>
          <w:sz w:val="24"/>
          <w:szCs w:val="24"/>
        </w:rPr>
        <w:t>ud tal que permita extraer razonablemente la conclusión de que la ganancia neta determinada según las normas vigentes no es adecuadamente representativa de la renta, enriquecimiento o beneficio que la ley del impuesto a las ganancias pretende gravar</w:t>
      </w:r>
      <w:r>
        <w:rPr>
          <w:rFonts w:ascii="Times" w:hAnsi="Times" w:cs="Times"/>
          <w:color w:val="000000"/>
          <w:sz w:val="24"/>
          <w:szCs w:val="24"/>
        </w:rPr>
        <w:t>”</w:t>
      </w:r>
      <w:r>
        <w:rPr>
          <w:rFonts w:ascii="Times" w:hAnsi="Times" w:cs="Times"/>
          <w:color w:val="000000"/>
          <w:sz w:val="24"/>
          <w:szCs w:val="24"/>
        </w:rPr>
        <w:t xml:space="preserve"> (cons</w:t>
      </w:r>
      <w:r>
        <w:rPr>
          <w:rFonts w:ascii="Times" w:hAnsi="Times" w:cs="Times"/>
          <w:color w:val="000000"/>
          <w:sz w:val="24"/>
          <w:szCs w:val="24"/>
        </w:rPr>
        <w:t>id. 14).</w:t>
      </w:r>
    </w:p>
    <w:p w:rsidR="00000000" w:rsidRDefault="00D81571">
      <w:pPr>
        <w:widowControl w:val="0"/>
        <w:suppressAutoHyphens/>
        <w:autoSpaceDE w:val="0"/>
        <w:autoSpaceDN w:val="0"/>
        <w:adjustRightInd w:val="0"/>
        <w:spacing w:before="40" w:after="40" w:line="288" w:lineRule="auto"/>
        <w:ind w:firstLine="300"/>
        <w:jc w:val="both"/>
        <w:rPr>
          <w:rFonts w:ascii="Times" w:hAnsi="Times" w:cs="Times"/>
          <w:color w:val="000000"/>
          <w:sz w:val="24"/>
          <w:szCs w:val="24"/>
        </w:rPr>
      </w:pPr>
      <w:r>
        <w:rPr>
          <w:rFonts w:ascii="Times" w:hAnsi="Times" w:cs="Times"/>
          <w:color w:val="000000"/>
          <w:sz w:val="24"/>
          <w:szCs w:val="24"/>
        </w:rPr>
        <w:t xml:space="preserve">Para ello, se establecieron diferentes pautas que deben ser evaluadas para analizar la constitucionalidad de un tributo: a) </w:t>
      </w:r>
      <w:r>
        <w:rPr>
          <w:rFonts w:ascii="Times" w:hAnsi="Times" w:cs="Times"/>
          <w:color w:val="000000"/>
          <w:sz w:val="24"/>
          <w:szCs w:val="24"/>
        </w:rPr>
        <w:t>“</w:t>
      </w:r>
      <w:r>
        <w:rPr>
          <w:rFonts w:ascii="Times" w:hAnsi="Times" w:cs="Times"/>
          <w:color w:val="000000"/>
          <w:sz w:val="24"/>
          <w:szCs w:val="24"/>
        </w:rPr>
        <w:t>...para que se configure un supuesto de confiscatoriedad debe producirse una absorción por parte del Estado de una porción</w:t>
      </w:r>
      <w:r>
        <w:rPr>
          <w:rFonts w:ascii="Times" w:hAnsi="Times" w:cs="Times"/>
          <w:color w:val="000000"/>
          <w:sz w:val="24"/>
          <w:szCs w:val="24"/>
        </w:rPr>
        <w:t xml:space="preserve"> sustancial de la renta o el capital (Fallos: 242:73 y sus citas; 268:56; 314:1293; 322:3255, entre muchos otros)</w:t>
      </w:r>
      <w:r>
        <w:rPr>
          <w:rFonts w:ascii="Times" w:hAnsi="Times" w:cs="Times"/>
          <w:color w:val="000000"/>
          <w:sz w:val="24"/>
          <w:szCs w:val="24"/>
        </w:rPr>
        <w:t>”</w:t>
      </w:r>
      <w:r>
        <w:rPr>
          <w:rFonts w:ascii="Times" w:hAnsi="Times" w:cs="Times"/>
          <w:color w:val="000000"/>
          <w:sz w:val="24"/>
          <w:szCs w:val="24"/>
        </w:rPr>
        <w:t xml:space="preserve">; b) poner </w:t>
      </w:r>
      <w:r>
        <w:rPr>
          <w:rFonts w:ascii="Times" w:hAnsi="Times" w:cs="Times"/>
          <w:color w:val="000000"/>
          <w:sz w:val="24"/>
          <w:szCs w:val="24"/>
        </w:rPr>
        <w:t>“</w:t>
      </w:r>
      <w:r>
        <w:rPr>
          <w:rFonts w:ascii="Times" w:hAnsi="Times" w:cs="Times"/>
          <w:color w:val="000000"/>
          <w:sz w:val="24"/>
          <w:szCs w:val="24"/>
        </w:rPr>
        <w:t>...énfasis en la actividad probatoria desplegada por el actor, requiriendo una prueba concluyente a efectos de acreditar la confis</w:t>
      </w:r>
      <w:r>
        <w:rPr>
          <w:rFonts w:ascii="Times" w:hAnsi="Times" w:cs="Times"/>
          <w:color w:val="000000"/>
          <w:sz w:val="24"/>
          <w:szCs w:val="24"/>
        </w:rPr>
        <w:t>catoriedad que se alega (Fallos: 220:1082, 1300; 239:157; 314:1293; 322:3255, entre otros)</w:t>
      </w:r>
      <w:r>
        <w:rPr>
          <w:rFonts w:ascii="Times" w:hAnsi="Times" w:cs="Times"/>
          <w:color w:val="000000"/>
          <w:sz w:val="24"/>
          <w:szCs w:val="24"/>
        </w:rPr>
        <w:t>”</w:t>
      </w:r>
      <w:r>
        <w:rPr>
          <w:rFonts w:ascii="Times" w:hAnsi="Times" w:cs="Times"/>
          <w:color w:val="000000"/>
          <w:sz w:val="24"/>
          <w:szCs w:val="24"/>
        </w:rPr>
        <w:t xml:space="preserve">; y c) tener en cuenta que </w:t>
      </w:r>
      <w:r>
        <w:rPr>
          <w:rFonts w:ascii="Times" w:hAnsi="Times" w:cs="Times"/>
          <w:color w:val="000000"/>
          <w:sz w:val="24"/>
          <w:szCs w:val="24"/>
        </w:rPr>
        <w:t>“</w:t>
      </w:r>
      <w:r>
        <w:rPr>
          <w:rFonts w:ascii="Times" w:hAnsi="Times" w:cs="Times"/>
          <w:color w:val="000000"/>
          <w:sz w:val="24"/>
          <w:szCs w:val="24"/>
        </w:rPr>
        <w:t>...el poder estatal de crear impuestos no es omnímodo e ilimitado, pues tiene un natural valladar en los preceptos constitucionales que r</w:t>
      </w:r>
      <w:r>
        <w:rPr>
          <w:rFonts w:ascii="Times" w:hAnsi="Times" w:cs="Times"/>
          <w:color w:val="000000"/>
          <w:sz w:val="24"/>
          <w:szCs w:val="24"/>
        </w:rPr>
        <w:t>equieren que las contribuciones sean razonables en cuanto no han de menoscabar con exceso el derecho de propiedad del contribuyente que debe soportarlas (Fallos: 235:883)</w:t>
      </w:r>
      <w:r>
        <w:rPr>
          <w:rFonts w:ascii="Times" w:hAnsi="Times" w:cs="Times"/>
          <w:color w:val="000000"/>
          <w:sz w:val="24"/>
          <w:szCs w:val="24"/>
        </w:rPr>
        <w:t>”</w:t>
      </w:r>
      <w:r>
        <w:rPr>
          <w:rFonts w:ascii="Times" w:hAnsi="Times" w:cs="Times"/>
          <w:color w:val="000000"/>
          <w:sz w:val="24"/>
          <w:szCs w:val="24"/>
        </w:rPr>
        <w:t>.</w:t>
      </w:r>
    </w:p>
    <w:p w:rsidR="00000000" w:rsidRDefault="00D81571">
      <w:pPr>
        <w:widowControl w:val="0"/>
        <w:suppressAutoHyphens/>
        <w:autoSpaceDE w:val="0"/>
        <w:autoSpaceDN w:val="0"/>
        <w:adjustRightInd w:val="0"/>
        <w:spacing w:before="40" w:after="40" w:line="288" w:lineRule="auto"/>
        <w:ind w:firstLine="300"/>
        <w:jc w:val="both"/>
        <w:rPr>
          <w:rFonts w:ascii="Times" w:hAnsi="Times" w:cs="Times"/>
          <w:color w:val="000000"/>
          <w:sz w:val="24"/>
          <w:szCs w:val="24"/>
        </w:rPr>
      </w:pPr>
      <w:r>
        <w:rPr>
          <w:rFonts w:ascii="Times" w:hAnsi="Times" w:cs="Times"/>
          <w:color w:val="000000"/>
          <w:sz w:val="24"/>
          <w:szCs w:val="24"/>
        </w:rPr>
        <w:t>En síntesis, podemos señalar, que como principio la confiscatoriedad implica un per</w:t>
      </w:r>
      <w:r>
        <w:rPr>
          <w:rFonts w:ascii="Times" w:hAnsi="Times" w:cs="Times"/>
          <w:color w:val="000000"/>
          <w:sz w:val="24"/>
          <w:szCs w:val="24"/>
        </w:rPr>
        <w:t xml:space="preserve">juicio cuando el gravamen absorbe una parte sustancial de las rentas reales o potenciales </w:t>
      </w:r>
      <w:r>
        <w:rPr>
          <w:rFonts w:ascii="Times" w:hAnsi="Times" w:cs="Times"/>
          <w:color w:val="000000"/>
          <w:sz w:val="24"/>
          <w:szCs w:val="24"/>
        </w:rPr>
        <w:t>—</w:t>
      </w:r>
      <w:r>
        <w:rPr>
          <w:rFonts w:ascii="Times" w:hAnsi="Times" w:cs="Times"/>
          <w:color w:val="000000"/>
          <w:sz w:val="24"/>
          <w:szCs w:val="24"/>
        </w:rPr>
        <w:t>de acuerdo a una explotación racional de la fuente productora de rédito</w:t>
      </w:r>
      <w:r>
        <w:rPr>
          <w:rFonts w:ascii="Times" w:hAnsi="Times" w:cs="Times"/>
          <w:color w:val="000000"/>
          <w:sz w:val="24"/>
          <w:szCs w:val="24"/>
        </w:rPr>
        <w:t>—</w:t>
      </w:r>
      <w:r>
        <w:rPr>
          <w:rFonts w:ascii="Times" w:hAnsi="Times" w:cs="Times"/>
          <w:color w:val="000000"/>
          <w:sz w:val="24"/>
          <w:szCs w:val="24"/>
        </w:rPr>
        <w:t xml:space="preserve"> de una empresa o actividad, encontrándose la prueba de dicho perjuicio a cargo de quien lo a</w:t>
      </w:r>
      <w:r>
        <w:rPr>
          <w:rFonts w:ascii="Times" w:hAnsi="Times" w:cs="Times"/>
          <w:color w:val="000000"/>
          <w:sz w:val="24"/>
          <w:szCs w:val="24"/>
        </w:rPr>
        <w:t xml:space="preserve">lega. </w:t>
      </w:r>
    </w:p>
    <w:p w:rsidR="00000000" w:rsidRDefault="00D81571">
      <w:pPr>
        <w:widowControl w:val="0"/>
        <w:suppressAutoHyphens/>
        <w:autoSpaceDE w:val="0"/>
        <w:autoSpaceDN w:val="0"/>
        <w:adjustRightInd w:val="0"/>
        <w:spacing w:before="40" w:after="40" w:line="288" w:lineRule="auto"/>
        <w:ind w:firstLine="300"/>
        <w:jc w:val="both"/>
        <w:rPr>
          <w:rFonts w:ascii="Times" w:hAnsi="Times" w:cs="Times"/>
          <w:color w:val="000000"/>
          <w:sz w:val="24"/>
          <w:szCs w:val="24"/>
        </w:rPr>
      </w:pPr>
      <w:r>
        <w:rPr>
          <w:rFonts w:ascii="Times" w:hAnsi="Times" w:cs="Times"/>
          <w:color w:val="000000"/>
          <w:sz w:val="24"/>
          <w:szCs w:val="24"/>
        </w:rPr>
        <w:t xml:space="preserve">Ello es así, por cuanto en el citado fallo, el Cimero Tribunal se refirió expresamente a la imposibilidad de estar férreamente atado a los parámetros establecidos en otros precedentes para fijar los límites de confiscatoriedad (33%), por cuanto las </w:t>
      </w:r>
      <w:r>
        <w:rPr>
          <w:rFonts w:ascii="Times" w:hAnsi="Times" w:cs="Times"/>
          <w:color w:val="000000"/>
          <w:sz w:val="24"/>
          <w:szCs w:val="24"/>
        </w:rPr>
        <w:t xml:space="preserve">características particulares que presenta el impuesto a las ganancias </w:t>
      </w:r>
      <w:r>
        <w:rPr>
          <w:rFonts w:ascii="Times" w:hAnsi="Times" w:cs="Times"/>
          <w:color w:val="000000"/>
          <w:sz w:val="24"/>
          <w:szCs w:val="24"/>
        </w:rPr>
        <w:t>“</w:t>
      </w:r>
      <w:r>
        <w:rPr>
          <w:rFonts w:ascii="Times" w:hAnsi="Times" w:cs="Times"/>
          <w:color w:val="000000"/>
          <w:sz w:val="24"/>
          <w:szCs w:val="24"/>
        </w:rPr>
        <w:t xml:space="preserve">...difieren de las propias de otras gabelas examinadas en anteriores fallos (vgr. Impuesto sucesorio </w:t>
      </w:r>
      <w:r>
        <w:rPr>
          <w:rFonts w:ascii="Times" w:hAnsi="Times" w:cs="Times"/>
          <w:color w:val="000000"/>
          <w:sz w:val="24"/>
          <w:szCs w:val="24"/>
        </w:rPr>
        <w:t>—</w:t>
      </w:r>
      <w:r>
        <w:rPr>
          <w:rFonts w:ascii="Times" w:hAnsi="Times" w:cs="Times"/>
          <w:color w:val="000000"/>
          <w:sz w:val="24"/>
          <w:szCs w:val="24"/>
        </w:rPr>
        <w:t>Fallos: 234:129; 235:883</w:t>
      </w:r>
      <w:r>
        <w:rPr>
          <w:rFonts w:ascii="Times" w:hAnsi="Times" w:cs="Times"/>
          <w:color w:val="000000"/>
          <w:sz w:val="24"/>
          <w:szCs w:val="24"/>
        </w:rPr>
        <w:t>—</w:t>
      </w:r>
      <w:r>
        <w:rPr>
          <w:rFonts w:ascii="Times" w:hAnsi="Times" w:cs="Times"/>
          <w:color w:val="000000"/>
          <w:sz w:val="24"/>
          <w:szCs w:val="24"/>
        </w:rPr>
        <w:t xml:space="preserve">; contribución territorial </w:t>
      </w:r>
      <w:r>
        <w:rPr>
          <w:rFonts w:ascii="Times" w:hAnsi="Times" w:cs="Times"/>
          <w:color w:val="000000"/>
          <w:sz w:val="24"/>
          <w:szCs w:val="24"/>
        </w:rPr>
        <w:t>—</w:t>
      </w:r>
      <w:r>
        <w:rPr>
          <w:rFonts w:ascii="Times" w:hAnsi="Times" w:cs="Times"/>
          <w:color w:val="000000"/>
          <w:sz w:val="24"/>
          <w:szCs w:val="24"/>
        </w:rPr>
        <w:t>Fallos: 206:214, 247; 209:114;</w:t>
      </w:r>
      <w:r>
        <w:rPr>
          <w:rFonts w:ascii="Times" w:hAnsi="Times" w:cs="Times"/>
          <w:color w:val="000000"/>
          <w:sz w:val="24"/>
          <w:szCs w:val="24"/>
        </w:rPr>
        <w:t xml:space="preserve"> 210:172 y 239:157</w:t>
      </w:r>
      <w:r>
        <w:rPr>
          <w:rFonts w:ascii="Times" w:hAnsi="Times" w:cs="Times"/>
          <w:color w:val="000000"/>
          <w:sz w:val="24"/>
          <w:szCs w:val="24"/>
        </w:rPr>
        <w:t>—</w:t>
      </w:r>
      <w:r>
        <w:rPr>
          <w:rFonts w:ascii="Times" w:hAnsi="Times" w:cs="Times"/>
          <w:color w:val="000000"/>
          <w:sz w:val="24"/>
          <w:szCs w:val="24"/>
        </w:rPr>
        <w:t xml:space="preserve">; ahorro obligatorio </w:t>
      </w:r>
      <w:r>
        <w:rPr>
          <w:rFonts w:ascii="Times" w:hAnsi="Times" w:cs="Times"/>
          <w:color w:val="000000"/>
          <w:sz w:val="24"/>
          <w:szCs w:val="24"/>
        </w:rPr>
        <w:t>—</w:t>
      </w:r>
      <w:r>
        <w:rPr>
          <w:rFonts w:ascii="Times" w:hAnsi="Times" w:cs="Times"/>
          <w:color w:val="000000"/>
          <w:sz w:val="24"/>
          <w:szCs w:val="24"/>
        </w:rPr>
        <w:t>Fallos:318:676 y 785</w:t>
      </w:r>
      <w:r>
        <w:rPr>
          <w:rFonts w:ascii="Times" w:hAnsi="Times" w:cs="Times"/>
          <w:color w:val="000000"/>
          <w:sz w:val="24"/>
          <w:szCs w:val="24"/>
        </w:rPr>
        <w:t>—</w:t>
      </w:r>
      <w:r>
        <w:rPr>
          <w:rFonts w:ascii="Times" w:hAnsi="Times" w:cs="Times"/>
          <w:color w:val="000000"/>
          <w:sz w:val="24"/>
          <w:szCs w:val="24"/>
        </w:rPr>
        <w:t>)</w:t>
      </w:r>
      <w:r>
        <w:rPr>
          <w:rFonts w:ascii="Times" w:hAnsi="Times" w:cs="Times"/>
          <w:color w:val="000000"/>
          <w:sz w:val="24"/>
          <w:szCs w:val="24"/>
        </w:rPr>
        <w:t>”</w:t>
      </w:r>
      <w:r>
        <w:rPr>
          <w:rFonts w:ascii="Times" w:hAnsi="Times" w:cs="Times"/>
          <w:color w:val="000000"/>
          <w:sz w:val="24"/>
          <w:szCs w:val="24"/>
        </w:rPr>
        <w:t xml:space="preserve"> (considerando 12).</w:t>
      </w:r>
    </w:p>
    <w:p w:rsidR="00000000" w:rsidRDefault="00D81571">
      <w:pPr>
        <w:widowControl w:val="0"/>
        <w:suppressAutoHyphens/>
        <w:autoSpaceDE w:val="0"/>
        <w:autoSpaceDN w:val="0"/>
        <w:adjustRightInd w:val="0"/>
        <w:spacing w:before="40" w:after="40" w:line="288" w:lineRule="auto"/>
        <w:ind w:firstLine="300"/>
        <w:jc w:val="both"/>
        <w:rPr>
          <w:rFonts w:ascii="Times" w:hAnsi="Times" w:cs="Times"/>
          <w:color w:val="000000"/>
          <w:sz w:val="24"/>
          <w:szCs w:val="24"/>
        </w:rPr>
      </w:pPr>
      <w:r>
        <w:rPr>
          <w:rFonts w:ascii="Times" w:hAnsi="Times" w:cs="Times"/>
          <w:color w:val="000000"/>
          <w:sz w:val="24"/>
          <w:szCs w:val="24"/>
        </w:rPr>
        <w:t>7°) Precisado lo que antecede, del devenir probatorio de la presente causa se observa que, tal como fuera destacado en la anterior intervención de esta Sala en el incidente</w:t>
      </w:r>
      <w:r>
        <w:rPr>
          <w:rFonts w:ascii="Times" w:hAnsi="Times" w:cs="Times"/>
          <w:color w:val="000000"/>
          <w:sz w:val="24"/>
          <w:szCs w:val="24"/>
        </w:rPr>
        <w:t xml:space="preserve"> de medida cautelar, en oportunidad de instar la acción la parte actora acompañó la declaración jurada del Impuesto a las Ganancias correspondiente al período fiscal 2019 </w:t>
      </w:r>
      <w:r>
        <w:rPr>
          <w:rFonts w:ascii="Times" w:hAnsi="Times" w:cs="Times"/>
          <w:color w:val="000000"/>
          <w:sz w:val="24"/>
          <w:szCs w:val="24"/>
        </w:rPr>
        <w:t>—</w:t>
      </w:r>
      <w:r>
        <w:rPr>
          <w:rFonts w:ascii="Times" w:hAnsi="Times" w:cs="Times"/>
          <w:color w:val="000000"/>
          <w:sz w:val="24"/>
          <w:szCs w:val="24"/>
        </w:rPr>
        <w:t>oportunamente presentada al ente recaudador</w:t>
      </w:r>
      <w:r>
        <w:rPr>
          <w:rFonts w:ascii="Times" w:hAnsi="Times" w:cs="Times"/>
          <w:color w:val="000000"/>
          <w:sz w:val="24"/>
          <w:szCs w:val="24"/>
        </w:rPr>
        <w:t>—</w:t>
      </w:r>
      <w:r>
        <w:rPr>
          <w:rFonts w:ascii="Times" w:hAnsi="Times" w:cs="Times"/>
          <w:color w:val="000000"/>
          <w:sz w:val="24"/>
          <w:szCs w:val="24"/>
        </w:rPr>
        <w:t xml:space="preserve"> con un detalle de las pautas para la de</w:t>
      </w:r>
      <w:r>
        <w:rPr>
          <w:rFonts w:ascii="Times" w:hAnsi="Times" w:cs="Times"/>
          <w:color w:val="000000"/>
          <w:sz w:val="24"/>
          <w:szCs w:val="24"/>
        </w:rPr>
        <w:t>terminación de la renta en el ejercicio liquidado y las del cálculo del monto total del ajuste por inflación que cabría aplicar, más las diferencias de resultados si se deduce el total del monto del ajuste o sólo un sexto, seguido de un informe de aseguram</w:t>
      </w:r>
      <w:r>
        <w:rPr>
          <w:rFonts w:ascii="Times" w:hAnsi="Times" w:cs="Times"/>
          <w:color w:val="000000"/>
          <w:sz w:val="24"/>
          <w:szCs w:val="24"/>
        </w:rPr>
        <w:t>iento de su contador público elaborado conforme a las pautas de la Resolución Técnica 37 de la Federación Argentina de Consejo Profesional de Ciencias Económicas.</w:t>
      </w:r>
    </w:p>
    <w:p w:rsidR="00000000" w:rsidRDefault="00D81571">
      <w:pPr>
        <w:widowControl w:val="0"/>
        <w:suppressAutoHyphens/>
        <w:autoSpaceDE w:val="0"/>
        <w:autoSpaceDN w:val="0"/>
        <w:adjustRightInd w:val="0"/>
        <w:spacing w:before="40" w:after="40" w:line="288" w:lineRule="auto"/>
        <w:ind w:firstLine="300"/>
        <w:jc w:val="both"/>
        <w:rPr>
          <w:rFonts w:ascii="Times" w:hAnsi="Times" w:cs="Times"/>
          <w:color w:val="000000"/>
          <w:sz w:val="24"/>
          <w:szCs w:val="24"/>
        </w:rPr>
      </w:pPr>
      <w:r>
        <w:rPr>
          <w:rFonts w:ascii="Times" w:hAnsi="Times" w:cs="Times"/>
          <w:color w:val="000000"/>
          <w:sz w:val="24"/>
          <w:szCs w:val="24"/>
        </w:rPr>
        <w:t>De tales elementos, propios del régimen general de autodeterminación impositiva, surgía que l</w:t>
      </w:r>
      <w:r>
        <w:rPr>
          <w:rFonts w:ascii="Times" w:hAnsi="Times" w:cs="Times"/>
          <w:color w:val="000000"/>
          <w:sz w:val="24"/>
          <w:szCs w:val="24"/>
        </w:rPr>
        <w:t>a aplicación del mecanismo de ajuste por inflación con diferimientos en sextos implicaba para el actor un impuesto determinado final de $291.583,66 (lo que arrojaba una alícuota efectiva de imposición de 78,43%) en lugar de los $70,308.43 que corresponderí</w:t>
      </w:r>
      <w:r>
        <w:rPr>
          <w:rFonts w:ascii="Times" w:hAnsi="Times" w:cs="Times"/>
          <w:color w:val="000000"/>
          <w:sz w:val="24"/>
          <w:szCs w:val="24"/>
        </w:rPr>
        <w:t>an sin el diferimiento en sextos. Sin embargo, frente al desconocimiento general efectuado por la apoderada de la AFIP, la magistrada de grado ordenó la realización de una pericia contable, la cual quedo a cargo del Cdor. Víctor Hugo Susbielles.</w:t>
      </w:r>
    </w:p>
    <w:p w:rsidR="00000000" w:rsidRDefault="00D81571">
      <w:pPr>
        <w:widowControl w:val="0"/>
        <w:suppressAutoHyphens/>
        <w:autoSpaceDE w:val="0"/>
        <w:autoSpaceDN w:val="0"/>
        <w:adjustRightInd w:val="0"/>
        <w:spacing w:before="40" w:after="40" w:line="288" w:lineRule="auto"/>
        <w:ind w:firstLine="300"/>
        <w:jc w:val="both"/>
        <w:rPr>
          <w:rFonts w:ascii="Times" w:hAnsi="Times" w:cs="Times"/>
          <w:color w:val="000000"/>
          <w:sz w:val="24"/>
          <w:szCs w:val="24"/>
        </w:rPr>
      </w:pPr>
      <w:r>
        <w:rPr>
          <w:rFonts w:ascii="Times" w:hAnsi="Times" w:cs="Times"/>
          <w:color w:val="000000"/>
          <w:sz w:val="24"/>
          <w:szCs w:val="24"/>
        </w:rPr>
        <w:t>En dicha o</w:t>
      </w:r>
      <w:r>
        <w:rPr>
          <w:rFonts w:ascii="Times" w:hAnsi="Times" w:cs="Times"/>
          <w:color w:val="000000"/>
          <w:sz w:val="24"/>
          <w:szCs w:val="24"/>
        </w:rPr>
        <w:t xml:space="preserve">portunidad, el perito destacó en primer lugar que </w:t>
      </w:r>
      <w:r>
        <w:rPr>
          <w:rFonts w:ascii="Times" w:hAnsi="Times" w:cs="Times"/>
          <w:color w:val="000000"/>
          <w:sz w:val="24"/>
          <w:szCs w:val="24"/>
        </w:rPr>
        <w:t>“</w:t>
      </w:r>
      <w:r>
        <w:rPr>
          <w:rFonts w:ascii="Times" w:hAnsi="Times" w:cs="Times"/>
          <w:color w:val="000000"/>
          <w:sz w:val="24"/>
          <w:szCs w:val="24"/>
        </w:rPr>
        <w:t>Habiéndose analizado la declaración jurada correspondiente al período fiscal 2019, la documentación respaldatoria y los papeles de trabajo de la Cra. Marina P. Gerez, profesional actuante en su confección,</w:t>
      </w:r>
      <w:r>
        <w:rPr>
          <w:rFonts w:ascii="Times" w:hAnsi="Times" w:cs="Times"/>
          <w:color w:val="000000"/>
          <w:sz w:val="24"/>
          <w:szCs w:val="24"/>
        </w:rPr>
        <w:t xml:space="preserve"> se puede afirmar que los procedimientos desarrollados para arribar al impuesto determinado y el correspondiente </w:t>
      </w:r>
      <w:r>
        <w:rPr>
          <w:rFonts w:ascii="Times" w:hAnsi="Times" w:cs="Times"/>
          <w:color w:val="000000"/>
          <w:sz w:val="24"/>
          <w:szCs w:val="24"/>
        </w:rPr>
        <w:t>“</w:t>
      </w:r>
      <w:r>
        <w:rPr>
          <w:rFonts w:ascii="Times" w:hAnsi="Times" w:cs="Times"/>
          <w:color w:val="000000"/>
          <w:sz w:val="24"/>
          <w:szCs w:val="24"/>
        </w:rPr>
        <w:t>Ajuste por inflación Impositivo</w:t>
      </w:r>
      <w:r>
        <w:rPr>
          <w:rFonts w:ascii="Times" w:hAnsi="Times" w:cs="Times"/>
          <w:color w:val="000000"/>
          <w:sz w:val="24"/>
          <w:szCs w:val="24"/>
        </w:rPr>
        <w:t>”</w:t>
      </w:r>
      <w:r>
        <w:rPr>
          <w:rFonts w:ascii="Times" w:hAnsi="Times" w:cs="Times"/>
          <w:color w:val="000000"/>
          <w:sz w:val="24"/>
          <w:szCs w:val="24"/>
        </w:rPr>
        <w:t>, fueron efectuados según las normas legales vigentes. La ley 20.628, impuesto a las ganancias, Título IV.</w:t>
      </w:r>
      <w:r>
        <w:rPr>
          <w:rFonts w:ascii="Times" w:hAnsi="Times" w:cs="Times"/>
          <w:color w:val="000000"/>
          <w:sz w:val="24"/>
          <w:szCs w:val="24"/>
        </w:rPr>
        <w:t>”</w:t>
      </w:r>
      <w:r>
        <w:rPr>
          <w:rFonts w:ascii="Times" w:hAnsi="Times" w:cs="Times"/>
          <w:color w:val="000000"/>
          <w:sz w:val="24"/>
          <w:szCs w:val="24"/>
        </w:rPr>
        <w:t>, l</w:t>
      </w:r>
      <w:r>
        <w:rPr>
          <w:rFonts w:ascii="Times" w:hAnsi="Times" w:cs="Times"/>
          <w:color w:val="000000"/>
          <w:sz w:val="24"/>
          <w:szCs w:val="24"/>
        </w:rPr>
        <w:t xml:space="preserve">uego de lo cual, corroboró los montos indicados por el contribuyente según los dos métodos de cálculo expuestos, afirmando </w:t>
      </w:r>
      <w:r>
        <w:rPr>
          <w:rFonts w:ascii="Times" w:hAnsi="Times" w:cs="Times"/>
          <w:color w:val="000000"/>
          <w:sz w:val="24"/>
          <w:szCs w:val="24"/>
        </w:rPr>
        <w:t>—</w:t>
      </w:r>
      <w:r>
        <w:rPr>
          <w:rFonts w:ascii="Times" w:hAnsi="Times" w:cs="Times"/>
          <w:color w:val="000000"/>
          <w:sz w:val="24"/>
          <w:szCs w:val="24"/>
        </w:rPr>
        <w:t>en definitiva</w:t>
      </w:r>
      <w:r>
        <w:rPr>
          <w:rFonts w:ascii="Times" w:hAnsi="Times" w:cs="Times"/>
          <w:color w:val="000000"/>
          <w:sz w:val="24"/>
          <w:szCs w:val="24"/>
        </w:rPr>
        <w:t>—</w:t>
      </w:r>
      <w:r>
        <w:rPr>
          <w:rFonts w:ascii="Times" w:hAnsi="Times" w:cs="Times"/>
          <w:color w:val="000000"/>
          <w:sz w:val="24"/>
          <w:szCs w:val="24"/>
        </w:rPr>
        <w:t xml:space="preserve"> que </w:t>
      </w:r>
      <w:r>
        <w:rPr>
          <w:rFonts w:ascii="Times" w:hAnsi="Times" w:cs="Times"/>
          <w:color w:val="000000"/>
          <w:sz w:val="24"/>
          <w:szCs w:val="24"/>
        </w:rPr>
        <w:t>“</w:t>
      </w:r>
      <w:r>
        <w:rPr>
          <w:rFonts w:ascii="Times" w:hAnsi="Times" w:cs="Times"/>
          <w:color w:val="000000"/>
          <w:sz w:val="24"/>
          <w:szCs w:val="24"/>
        </w:rPr>
        <w:t>La diferencia entre ambas alternativas es de $221.275.23 (pesos doscientos veintiún mil doscientos setenta y cin</w:t>
      </w:r>
      <w:r>
        <w:rPr>
          <w:rFonts w:ascii="Times" w:hAnsi="Times" w:cs="Times"/>
          <w:color w:val="000000"/>
          <w:sz w:val="24"/>
          <w:szCs w:val="24"/>
        </w:rPr>
        <w:t>co con 23/100), que representa un decremento del 314,72% (trescientos catorce con 72/100), de la obligación impositiva</w:t>
      </w:r>
      <w:r>
        <w:rPr>
          <w:rFonts w:ascii="Times" w:hAnsi="Times" w:cs="Times"/>
          <w:color w:val="000000"/>
          <w:sz w:val="24"/>
          <w:szCs w:val="24"/>
        </w:rPr>
        <w:t>”</w:t>
      </w:r>
      <w:r>
        <w:rPr>
          <w:rFonts w:ascii="Times" w:hAnsi="Times" w:cs="Times"/>
          <w:color w:val="000000"/>
          <w:sz w:val="24"/>
          <w:szCs w:val="24"/>
        </w:rPr>
        <w:t>. (cf. Dictamen pericial de fs. 121/127).</w:t>
      </w:r>
    </w:p>
    <w:p w:rsidR="00000000" w:rsidRDefault="00D81571">
      <w:pPr>
        <w:widowControl w:val="0"/>
        <w:suppressAutoHyphens/>
        <w:autoSpaceDE w:val="0"/>
        <w:autoSpaceDN w:val="0"/>
        <w:adjustRightInd w:val="0"/>
        <w:spacing w:before="40" w:after="40" w:line="288" w:lineRule="auto"/>
        <w:ind w:firstLine="300"/>
        <w:jc w:val="both"/>
        <w:rPr>
          <w:rFonts w:ascii="Times" w:hAnsi="Times" w:cs="Times"/>
          <w:color w:val="000000"/>
          <w:sz w:val="24"/>
          <w:szCs w:val="24"/>
        </w:rPr>
      </w:pPr>
      <w:r>
        <w:rPr>
          <w:rFonts w:ascii="Times" w:hAnsi="Times" w:cs="Times"/>
          <w:color w:val="000000"/>
          <w:sz w:val="24"/>
          <w:szCs w:val="24"/>
        </w:rPr>
        <w:t xml:space="preserve">Ahora bien, de la lectura de los agravios esgrimidos por la recurrente, en consonancia con los </w:t>
      </w:r>
      <w:r>
        <w:rPr>
          <w:rFonts w:ascii="Times" w:hAnsi="Times" w:cs="Times"/>
          <w:color w:val="000000"/>
          <w:sz w:val="24"/>
          <w:szCs w:val="24"/>
        </w:rPr>
        <w:t xml:space="preserve">motivos por los que se impugnó la mencionada pericia, se observa que la crítica del ente recaudador no se circunscribe a los valores numéricos a los que arriban tanto su contraparte como el profesional contable, sino que giran en torno al entendimiento de </w:t>
      </w:r>
      <w:r>
        <w:rPr>
          <w:rFonts w:ascii="Times" w:hAnsi="Times" w:cs="Times"/>
          <w:color w:val="000000"/>
          <w:sz w:val="24"/>
          <w:szCs w:val="24"/>
        </w:rPr>
        <w:t>que el dictamen pericial no se encontraría lo suficientemente fundado.</w:t>
      </w:r>
    </w:p>
    <w:p w:rsidR="00000000" w:rsidRDefault="00D81571">
      <w:pPr>
        <w:widowControl w:val="0"/>
        <w:suppressAutoHyphens/>
        <w:autoSpaceDE w:val="0"/>
        <w:autoSpaceDN w:val="0"/>
        <w:adjustRightInd w:val="0"/>
        <w:spacing w:before="40" w:after="40" w:line="288" w:lineRule="auto"/>
        <w:ind w:firstLine="300"/>
        <w:jc w:val="both"/>
        <w:rPr>
          <w:rFonts w:ascii="Times" w:hAnsi="Times" w:cs="Times"/>
          <w:color w:val="000000"/>
          <w:sz w:val="24"/>
          <w:szCs w:val="24"/>
        </w:rPr>
      </w:pPr>
      <w:r>
        <w:rPr>
          <w:rFonts w:ascii="Times" w:hAnsi="Times" w:cs="Times"/>
          <w:color w:val="000000"/>
          <w:sz w:val="24"/>
          <w:szCs w:val="24"/>
        </w:rPr>
        <w:t>En este sentido, la apoderada de la AFIP hace hincapié en cuestiones terminológicas como el hecho de que el perito haya considerado que la declaración jurada del actor fue presentada en</w:t>
      </w:r>
      <w:r>
        <w:rPr>
          <w:rFonts w:ascii="Times" w:hAnsi="Times" w:cs="Times"/>
          <w:color w:val="000000"/>
          <w:sz w:val="24"/>
          <w:szCs w:val="24"/>
        </w:rPr>
        <w:t xml:space="preserve"> cumplimiento de la normativa legal vigente, cuando en realidad por no haber utilizado el método de diferimiento de sextos que aquí se discute ello no pudo haber sido así, o procedimentales, relativas a la metodología o profundidad de la indagación efectua</w:t>
      </w:r>
      <w:r>
        <w:rPr>
          <w:rFonts w:ascii="Times" w:hAnsi="Times" w:cs="Times"/>
          <w:color w:val="000000"/>
          <w:sz w:val="24"/>
          <w:szCs w:val="24"/>
        </w:rPr>
        <w:t>da por el perito para arribar a las conclusiones que expone.</w:t>
      </w:r>
    </w:p>
    <w:p w:rsidR="00000000" w:rsidRDefault="00D81571">
      <w:pPr>
        <w:widowControl w:val="0"/>
        <w:suppressAutoHyphens/>
        <w:autoSpaceDE w:val="0"/>
        <w:autoSpaceDN w:val="0"/>
        <w:adjustRightInd w:val="0"/>
        <w:spacing w:before="40" w:after="40" w:line="288" w:lineRule="auto"/>
        <w:ind w:firstLine="300"/>
        <w:jc w:val="both"/>
        <w:rPr>
          <w:rFonts w:ascii="Times" w:hAnsi="Times" w:cs="Times"/>
          <w:color w:val="000000"/>
          <w:sz w:val="24"/>
          <w:szCs w:val="24"/>
        </w:rPr>
      </w:pPr>
      <w:r>
        <w:rPr>
          <w:rFonts w:ascii="Times" w:hAnsi="Times" w:cs="Times"/>
          <w:color w:val="000000"/>
          <w:sz w:val="24"/>
          <w:szCs w:val="24"/>
        </w:rPr>
        <w:t xml:space="preserve">Al respecto, es dable poner de resalto que, en lo atinente al valor probatorio del informe pericial contable, debe reconocerse validez a las conclusiones del experto para la decisión de aspectos </w:t>
      </w:r>
      <w:r>
        <w:rPr>
          <w:rFonts w:ascii="Times" w:hAnsi="Times" w:cs="Times"/>
          <w:color w:val="000000"/>
          <w:sz w:val="24"/>
          <w:szCs w:val="24"/>
        </w:rPr>
        <w:t>que requieren apreciaciones específicas de su saber técnico, de las que sólo cabría apartarse ante la evidencia de errores manifiestos o insuficiencia de conocimientos científicos (Fallos: 319:469; 320:326), circunstancias que no concurren en el caso.</w:t>
      </w:r>
    </w:p>
    <w:p w:rsidR="00000000" w:rsidRDefault="00D81571">
      <w:pPr>
        <w:widowControl w:val="0"/>
        <w:suppressAutoHyphens/>
        <w:autoSpaceDE w:val="0"/>
        <w:autoSpaceDN w:val="0"/>
        <w:adjustRightInd w:val="0"/>
        <w:spacing w:before="40" w:after="40" w:line="288" w:lineRule="auto"/>
        <w:ind w:firstLine="300"/>
        <w:jc w:val="both"/>
        <w:rPr>
          <w:rFonts w:ascii="Times" w:hAnsi="Times" w:cs="Times"/>
          <w:color w:val="000000"/>
          <w:sz w:val="24"/>
          <w:szCs w:val="24"/>
        </w:rPr>
      </w:pPr>
      <w:r>
        <w:rPr>
          <w:rFonts w:ascii="Times" w:hAnsi="Times" w:cs="Times"/>
          <w:color w:val="000000"/>
          <w:sz w:val="24"/>
          <w:szCs w:val="24"/>
        </w:rPr>
        <w:t>De conformidad con lo señalado por la a quo, las críticas no revisten real gravitación para descalificar el dictamen, por cuanto, independientemente de la diferencia de criterios que pudieran existir para justificar la tarea profesional encomendada al peri</w:t>
      </w:r>
      <w:r>
        <w:rPr>
          <w:rFonts w:ascii="Times" w:hAnsi="Times" w:cs="Times"/>
          <w:color w:val="000000"/>
          <w:sz w:val="24"/>
          <w:szCs w:val="24"/>
        </w:rPr>
        <w:t>to, lo cierto es que en ningún momento se cuestiona o siquiera objeta la validez de los resultados expuestos, las diferencias porcentuales existentes entre las dos formas de calcular el tributo y las razonables consecuencias para la actividad del contribuy</w:t>
      </w:r>
      <w:r>
        <w:rPr>
          <w:rFonts w:ascii="Times" w:hAnsi="Times" w:cs="Times"/>
          <w:color w:val="000000"/>
          <w:sz w:val="24"/>
          <w:szCs w:val="24"/>
        </w:rPr>
        <w:t>ente derivadas de un incremento significativo en el importe final del gravamen.</w:t>
      </w:r>
    </w:p>
    <w:p w:rsidR="00000000" w:rsidRDefault="00D81571">
      <w:pPr>
        <w:widowControl w:val="0"/>
        <w:suppressAutoHyphens/>
        <w:autoSpaceDE w:val="0"/>
        <w:autoSpaceDN w:val="0"/>
        <w:adjustRightInd w:val="0"/>
        <w:spacing w:before="40" w:after="40" w:line="288" w:lineRule="auto"/>
        <w:ind w:firstLine="300"/>
        <w:jc w:val="both"/>
        <w:rPr>
          <w:rFonts w:ascii="Times" w:hAnsi="Times" w:cs="Times"/>
          <w:color w:val="000000"/>
          <w:sz w:val="24"/>
          <w:szCs w:val="24"/>
        </w:rPr>
      </w:pPr>
      <w:r>
        <w:rPr>
          <w:rFonts w:ascii="Times" w:hAnsi="Times" w:cs="Times"/>
          <w:color w:val="000000"/>
          <w:sz w:val="24"/>
          <w:szCs w:val="24"/>
        </w:rPr>
        <w:t>Resultados ellos, a partir de los que, con un simple cálculo aritmético de la incidencia de la suma del tributo a ingresar sin diferimiento de sextos respecto de la base imponi</w:t>
      </w:r>
      <w:r>
        <w:rPr>
          <w:rFonts w:ascii="Times" w:hAnsi="Times" w:cs="Times"/>
          <w:color w:val="000000"/>
          <w:sz w:val="24"/>
          <w:szCs w:val="24"/>
        </w:rPr>
        <w:t>ble sujeta impuesto con la deducción del ajuste en su totalidad, se puede obtener la alícuota efectiva del gravamen del 78,43% que el contribuyente denuncia, y por lo tanto tener por fehacientemente comprobada la confiscatoriedad alegada; en tanto, no habi</w:t>
      </w:r>
      <w:r>
        <w:rPr>
          <w:rFonts w:ascii="Times" w:hAnsi="Times" w:cs="Times"/>
          <w:color w:val="000000"/>
          <w:sz w:val="24"/>
          <w:szCs w:val="24"/>
        </w:rPr>
        <w:t xml:space="preserve">endo el ente recaudador aportado elementos propios de las facultades que le competen en materia de fiscalización o de verificación que permitan vislumbrar la existencia de un incumplimiento del actor en sus labores declarativas, la prueba recabada en esta </w:t>
      </w:r>
      <w:r>
        <w:rPr>
          <w:rFonts w:ascii="Times" w:hAnsi="Times" w:cs="Times"/>
          <w:color w:val="000000"/>
          <w:sz w:val="24"/>
          <w:szCs w:val="24"/>
        </w:rPr>
        <w:t>instancia permite tener por acreditado que la aplicación irrestricta de la normativa reglamentaria implicaría un insumo notorio de una porción sustancial de las rentas obtenidas por el actor.</w:t>
      </w:r>
    </w:p>
    <w:p w:rsidR="00000000" w:rsidRDefault="00D81571">
      <w:pPr>
        <w:widowControl w:val="0"/>
        <w:suppressAutoHyphens/>
        <w:autoSpaceDE w:val="0"/>
        <w:autoSpaceDN w:val="0"/>
        <w:adjustRightInd w:val="0"/>
        <w:spacing w:before="40" w:after="40" w:line="288" w:lineRule="auto"/>
        <w:ind w:firstLine="300"/>
        <w:jc w:val="both"/>
        <w:rPr>
          <w:rFonts w:ascii="Times" w:hAnsi="Times" w:cs="Times"/>
          <w:color w:val="000000"/>
          <w:sz w:val="24"/>
          <w:szCs w:val="24"/>
        </w:rPr>
      </w:pPr>
      <w:r>
        <w:rPr>
          <w:rFonts w:ascii="Times" w:hAnsi="Times" w:cs="Times"/>
          <w:color w:val="000000"/>
          <w:sz w:val="24"/>
          <w:szCs w:val="24"/>
        </w:rPr>
        <w:t>Siguiendo ese lineamiento, y particularmente en respuesta al ter</w:t>
      </w:r>
      <w:r>
        <w:rPr>
          <w:rFonts w:ascii="Times" w:hAnsi="Times" w:cs="Times"/>
          <w:color w:val="000000"/>
          <w:sz w:val="24"/>
          <w:szCs w:val="24"/>
        </w:rPr>
        <w:t>cer agravio, estimo que el fallo impugnado cumple con la manda de motivación suficiente, pues contiene una explicación de la conclusión a la que arriba la Jueza a quo, que aparece como el resultado de un análisis racional de los elementos obrantes en la ca</w:t>
      </w:r>
      <w:r>
        <w:rPr>
          <w:rFonts w:ascii="Times" w:hAnsi="Times" w:cs="Times"/>
          <w:color w:val="000000"/>
          <w:sz w:val="24"/>
          <w:szCs w:val="24"/>
        </w:rPr>
        <w:t>usa y su aplicación al caso concreto conforme el actual régimen legal.</w:t>
      </w:r>
    </w:p>
    <w:p w:rsidR="00000000" w:rsidRDefault="00D81571">
      <w:pPr>
        <w:widowControl w:val="0"/>
        <w:suppressAutoHyphens/>
        <w:autoSpaceDE w:val="0"/>
        <w:autoSpaceDN w:val="0"/>
        <w:adjustRightInd w:val="0"/>
        <w:spacing w:before="40" w:after="40" w:line="288" w:lineRule="auto"/>
        <w:ind w:firstLine="300"/>
        <w:jc w:val="both"/>
        <w:rPr>
          <w:rFonts w:ascii="Times" w:hAnsi="Times" w:cs="Times"/>
          <w:color w:val="000000"/>
          <w:sz w:val="24"/>
          <w:szCs w:val="24"/>
        </w:rPr>
      </w:pPr>
      <w:r>
        <w:rPr>
          <w:rFonts w:ascii="Times" w:hAnsi="Times" w:cs="Times"/>
          <w:color w:val="000000"/>
          <w:sz w:val="24"/>
          <w:szCs w:val="24"/>
        </w:rPr>
        <w:t>8°) Consecuentemente, considero que la interpretación propiciada en la resolución atacada, con fundamento en la jurisprudencia sentada por la CSJN y su aplicación al caso concreto, se a</w:t>
      </w:r>
      <w:r>
        <w:rPr>
          <w:rFonts w:ascii="Times" w:hAnsi="Times" w:cs="Times"/>
          <w:color w:val="000000"/>
          <w:sz w:val="24"/>
          <w:szCs w:val="24"/>
        </w:rPr>
        <w:t>justa a las circunstancias comprobadas en la causa, sin que los argumentos planteados por el Fisco Nacional en su escrito recursivo logren conmover la solución propuesta.</w:t>
      </w:r>
    </w:p>
    <w:p w:rsidR="00000000" w:rsidRDefault="00D81571">
      <w:pPr>
        <w:widowControl w:val="0"/>
        <w:suppressAutoHyphens/>
        <w:autoSpaceDE w:val="0"/>
        <w:autoSpaceDN w:val="0"/>
        <w:adjustRightInd w:val="0"/>
        <w:spacing w:before="40" w:after="40" w:line="288" w:lineRule="auto"/>
        <w:ind w:firstLine="300"/>
        <w:jc w:val="both"/>
        <w:rPr>
          <w:rFonts w:ascii="Times" w:hAnsi="Times" w:cs="Times"/>
          <w:color w:val="000000"/>
          <w:sz w:val="24"/>
          <w:szCs w:val="24"/>
        </w:rPr>
      </w:pPr>
      <w:r>
        <w:rPr>
          <w:rFonts w:ascii="Times" w:hAnsi="Times" w:cs="Times"/>
          <w:color w:val="000000"/>
          <w:sz w:val="24"/>
          <w:szCs w:val="24"/>
        </w:rPr>
        <w:t>9°) Finalmente, en cuanto al recurso de apelación deducido por altos contra los honor</w:t>
      </w:r>
      <w:r>
        <w:rPr>
          <w:rFonts w:ascii="Times" w:hAnsi="Times" w:cs="Times"/>
          <w:color w:val="000000"/>
          <w:sz w:val="24"/>
          <w:szCs w:val="24"/>
        </w:rPr>
        <w:t>arios fijados en la instancia de grado al perito contador, examinada la regulación practicada, dada la naturaleza de la acción impetrada y el procedimiento que conlleva, resulta adecuada la aplicación al caso los parámetros que receptan los arts. 16, 19, 5</w:t>
      </w:r>
      <w:r>
        <w:rPr>
          <w:rFonts w:ascii="Times" w:hAnsi="Times" w:cs="Times"/>
          <w:color w:val="000000"/>
          <w:sz w:val="24"/>
          <w:szCs w:val="24"/>
        </w:rPr>
        <w:t>1 y 60 de la ley 27.423.</w:t>
      </w:r>
    </w:p>
    <w:p w:rsidR="00000000" w:rsidRDefault="00D81571">
      <w:pPr>
        <w:widowControl w:val="0"/>
        <w:suppressAutoHyphens/>
        <w:autoSpaceDE w:val="0"/>
        <w:autoSpaceDN w:val="0"/>
        <w:adjustRightInd w:val="0"/>
        <w:spacing w:before="40" w:after="40" w:line="288" w:lineRule="auto"/>
        <w:ind w:firstLine="300"/>
        <w:jc w:val="both"/>
        <w:rPr>
          <w:rFonts w:ascii="Times" w:hAnsi="Times" w:cs="Times"/>
          <w:color w:val="000000"/>
          <w:sz w:val="24"/>
          <w:szCs w:val="24"/>
        </w:rPr>
      </w:pPr>
      <w:r>
        <w:rPr>
          <w:rFonts w:ascii="Times" w:hAnsi="Times" w:cs="Times"/>
          <w:color w:val="000000"/>
          <w:sz w:val="24"/>
          <w:szCs w:val="24"/>
        </w:rPr>
        <w:t>Por ello, corresponde confirmar la regulación de honorarios del Cdor. Susbielles, la que a la fecha asciende a la suma de $... (Ac. CSJN N° 4/2022).</w:t>
      </w:r>
    </w:p>
    <w:p w:rsidR="00000000" w:rsidRDefault="00D81571">
      <w:pPr>
        <w:widowControl w:val="0"/>
        <w:suppressAutoHyphens/>
        <w:autoSpaceDE w:val="0"/>
        <w:autoSpaceDN w:val="0"/>
        <w:adjustRightInd w:val="0"/>
        <w:spacing w:before="40" w:after="40" w:line="288" w:lineRule="auto"/>
        <w:ind w:firstLine="300"/>
        <w:jc w:val="both"/>
        <w:rPr>
          <w:rFonts w:ascii="Times" w:hAnsi="Times" w:cs="Times"/>
          <w:color w:val="000000"/>
          <w:sz w:val="24"/>
          <w:szCs w:val="24"/>
        </w:rPr>
      </w:pPr>
      <w:r>
        <w:rPr>
          <w:rFonts w:ascii="Times" w:hAnsi="Times" w:cs="Times"/>
          <w:color w:val="000000"/>
          <w:sz w:val="24"/>
          <w:szCs w:val="24"/>
        </w:rPr>
        <w:t>Por ello, propongo al Acuerdo: 1°) Rechazar el recurso de apelación interpuesto po</w:t>
      </w:r>
      <w:r>
        <w:rPr>
          <w:rFonts w:ascii="Times" w:hAnsi="Times" w:cs="Times"/>
          <w:color w:val="000000"/>
          <w:sz w:val="24"/>
          <w:szCs w:val="24"/>
        </w:rPr>
        <w:t>r la demandada a fs. 135 y, en consecuencia, confirmar la resolución de fs. 136. 2°) Imponer las costas de esta instancia en el orden causado, atento la índole de la cuestión debatida, y diferir la regulación honorarios de los letrados intervinientes hasta</w:t>
      </w:r>
      <w:r>
        <w:rPr>
          <w:rFonts w:ascii="Times" w:hAnsi="Times" w:cs="Times"/>
          <w:color w:val="000000"/>
          <w:sz w:val="24"/>
          <w:szCs w:val="24"/>
        </w:rPr>
        <w:t xml:space="preserve"> tanto sean estimados los de la primera instancia (art. 30, Ley 27.423). 3°) Rechazar el recurso de apelación interpuesto por altos y, en consecuencia, confirmar la regulación de honorarios del Cdor. Víctor Hugo Susbielles a la suma de ... UMA, la que a la</w:t>
      </w:r>
      <w:r>
        <w:rPr>
          <w:rFonts w:ascii="Times" w:hAnsi="Times" w:cs="Times"/>
          <w:color w:val="000000"/>
          <w:sz w:val="24"/>
          <w:szCs w:val="24"/>
        </w:rPr>
        <w:t xml:space="preserve"> fecha asciende a la suma de $... (Ac. CSJN N° 4/2022).</w:t>
      </w:r>
    </w:p>
    <w:p w:rsidR="00000000" w:rsidRDefault="00D81571">
      <w:pPr>
        <w:widowControl w:val="0"/>
        <w:suppressAutoHyphens/>
        <w:autoSpaceDE w:val="0"/>
        <w:autoSpaceDN w:val="0"/>
        <w:adjustRightInd w:val="0"/>
        <w:spacing w:before="40" w:after="40" w:line="288" w:lineRule="auto"/>
        <w:ind w:firstLine="300"/>
        <w:jc w:val="both"/>
        <w:rPr>
          <w:rFonts w:ascii="Times" w:hAnsi="Times" w:cs="Times"/>
          <w:color w:val="000000"/>
          <w:sz w:val="24"/>
          <w:szCs w:val="24"/>
        </w:rPr>
      </w:pPr>
      <w:r>
        <w:rPr>
          <w:rFonts w:ascii="Times" w:hAnsi="Times" w:cs="Times"/>
          <w:color w:val="000000"/>
          <w:sz w:val="24"/>
          <w:szCs w:val="24"/>
        </w:rPr>
        <w:t>Es mi voto.</w:t>
      </w:r>
    </w:p>
    <w:p w:rsidR="00000000" w:rsidRDefault="00D81571">
      <w:pPr>
        <w:widowControl w:val="0"/>
        <w:suppressAutoHyphens/>
        <w:autoSpaceDE w:val="0"/>
        <w:autoSpaceDN w:val="0"/>
        <w:adjustRightInd w:val="0"/>
        <w:spacing w:before="40" w:after="40" w:line="288" w:lineRule="auto"/>
        <w:ind w:firstLine="300"/>
        <w:jc w:val="both"/>
        <w:rPr>
          <w:rFonts w:ascii="Times" w:hAnsi="Times" w:cs="Times"/>
          <w:color w:val="000000"/>
          <w:sz w:val="24"/>
          <w:szCs w:val="24"/>
        </w:rPr>
      </w:pPr>
      <w:r>
        <w:rPr>
          <w:rFonts w:ascii="Times" w:hAnsi="Times" w:cs="Times"/>
          <w:color w:val="000000"/>
          <w:sz w:val="24"/>
          <w:szCs w:val="24"/>
        </w:rPr>
        <w:t>El doctor Larriera dijo:</w:t>
      </w:r>
    </w:p>
    <w:p w:rsidR="00000000" w:rsidRDefault="00D81571">
      <w:pPr>
        <w:widowControl w:val="0"/>
        <w:suppressAutoHyphens/>
        <w:autoSpaceDE w:val="0"/>
        <w:autoSpaceDN w:val="0"/>
        <w:adjustRightInd w:val="0"/>
        <w:spacing w:before="40" w:after="40" w:line="288" w:lineRule="auto"/>
        <w:ind w:firstLine="300"/>
        <w:jc w:val="both"/>
        <w:rPr>
          <w:rFonts w:ascii="Times" w:hAnsi="Times" w:cs="Times"/>
          <w:color w:val="000000"/>
          <w:sz w:val="24"/>
          <w:szCs w:val="24"/>
        </w:rPr>
      </w:pPr>
      <w:r>
        <w:rPr>
          <w:rFonts w:ascii="Times" w:hAnsi="Times" w:cs="Times"/>
          <w:color w:val="000000"/>
          <w:sz w:val="24"/>
          <w:szCs w:val="24"/>
        </w:rPr>
        <w:t>Adhiero en lo sustancial al voto que antecede, por compartir sus fundamentos.</w:t>
      </w:r>
    </w:p>
    <w:p w:rsidR="00000000" w:rsidRDefault="00D81571">
      <w:pPr>
        <w:widowControl w:val="0"/>
        <w:suppressAutoHyphens/>
        <w:autoSpaceDE w:val="0"/>
        <w:autoSpaceDN w:val="0"/>
        <w:adjustRightInd w:val="0"/>
        <w:spacing w:before="40" w:after="40" w:line="288" w:lineRule="auto"/>
        <w:ind w:firstLine="300"/>
        <w:jc w:val="both"/>
        <w:rPr>
          <w:rFonts w:ascii="Times" w:hAnsi="Times" w:cs="Times"/>
          <w:color w:val="000000"/>
          <w:sz w:val="24"/>
          <w:szCs w:val="24"/>
        </w:rPr>
      </w:pPr>
      <w:r>
        <w:rPr>
          <w:rFonts w:ascii="Times" w:hAnsi="Times" w:cs="Times"/>
          <w:color w:val="000000"/>
          <w:sz w:val="24"/>
          <w:szCs w:val="24"/>
        </w:rPr>
        <w:t>Por ello, se resuelve: 1°) Rechazar el recurso de apelación interpuesto por la demand</w:t>
      </w:r>
      <w:r>
        <w:rPr>
          <w:rFonts w:ascii="Times" w:hAnsi="Times" w:cs="Times"/>
          <w:color w:val="000000"/>
          <w:sz w:val="24"/>
          <w:szCs w:val="24"/>
        </w:rPr>
        <w:t>ada a fs. 135 y, en consecuencia, confirmar la resolución de fs. 136. 2°) Imponer las costas de esta instancia en el orden causado, atento la índole de la cuestión debatida, y diferir la regulación honorarios de los letrados intervinientes hasta tanto sean</w:t>
      </w:r>
      <w:r>
        <w:rPr>
          <w:rFonts w:ascii="Times" w:hAnsi="Times" w:cs="Times"/>
          <w:color w:val="000000"/>
          <w:sz w:val="24"/>
          <w:szCs w:val="24"/>
        </w:rPr>
        <w:t xml:space="preserve"> estimados los de la primera instancia (art. 30, Ley 27.423). 3°) Rechazar el recurso de apelación interpuesto por altos y, en consecuencia, confirmar la regulación de honorarios del Cdor. Víctor Hugo Susbielles a la suma de ... UMA, la que a la fecha asci</w:t>
      </w:r>
      <w:r>
        <w:rPr>
          <w:rFonts w:ascii="Times" w:hAnsi="Times" w:cs="Times"/>
          <w:color w:val="000000"/>
          <w:sz w:val="24"/>
          <w:szCs w:val="24"/>
        </w:rPr>
        <w:t xml:space="preserve">ende a la suma de $... (Ac. CSJN N° 4/2022). Regístrese, notifíquese, publíquese (Acs. CSJN N° 15/2013 y 24/2013) y devuélvase. No suscribe el señor Juez de Cámara, doctor Leandro Sergio Picado (art. 3°, ley 23.482). </w:t>
      </w:r>
      <w:r>
        <w:rPr>
          <w:rFonts w:ascii="Times" w:hAnsi="Times" w:cs="Times"/>
          <w:color w:val="000000"/>
          <w:sz w:val="24"/>
          <w:szCs w:val="24"/>
        </w:rPr>
        <w:t>—</w:t>
      </w:r>
      <w:r>
        <w:rPr>
          <w:rFonts w:ascii="Times" w:hAnsi="Times" w:cs="Times"/>
          <w:color w:val="000000"/>
          <w:sz w:val="24"/>
          <w:szCs w:val="24"/>
        </w:rPr>
        <w:t xml:space="preserve"> Roberto D. Amabile. </w:t>
      </w:r>
      <w:r>
        <w:rPr>
          <w:rFonts w:ascii="Times" w:hAnsi="Times" w:cs="Times"/>
          <w:color w:val="000000"/>
          <w:sz w:val="24"/>
          <w:szCs w:val="24"/>
        </w:rPr>
        <w:t>—</w:t>
      </w:r>
      <w:r>
        <w:rPr>
          <w:rFonts w:ascii="Times" w:hAnsi="Times" w:cs="Times"/>
          <w:color w:val="000000"/>
          <w:sz w:val="24"/>
          <w:szCs w:val="24"/>
        </w:rPr>
        <w:t xml:space="preserve"> Pablo E. Larrie</w:t>
      </w:r>
      <w:r>
        <w:rPr>
          <w:rFonts w:ascii="Times" w:hAnsi="Times" w:cs="Times"/>
          <w:color w:val="000000"/>
          <w:sz w:val="24"/>
          <w:szCs w:val="24"/>
        </w:rPr>
        <w:t xml:space="preserve">ra. </w:t>
      </w:r>
    </w:p>
    <w:p w:rsidR="00000000" w:rsidRDefault="00D81571">
      <w:pPr>
        <w:widowControl w:val="0"/>
        <w:suppressAutoHyphens/>
        <w:autoSpaceDE w:val="0"/>
        <w:autoSpaceDN w:val="0"/>
        <w:adjustRightInd w:val="0"/>
        <w:spacing w:after="0" w:line="288" w:lineRule="auto"/>
        <w:jc w:val="both"/>
        <w:rPr>
          <w:rFonts w:ascii="Times" w:hAnsi="Times" w:cs="Times"/>
          <w:color w:val="000000"/>
          <w:sz w:val="24"/>
          <w:szCs w:val="24"/>
        </w:rPr>
      </w:pPr>
    </w:p>
    <w:p w:rsidR="00000000" w:rsidRDefault="00D81571">
      <w:pPr>
        <w:widowControl w:val="0"/>
        <w:autoSpaceDE w:val="0"/>
        <w:autoSpaceDN w:val="0"/>
        <w:adjustRightInd w:val="0"/>
        <w:spacing w:after="0" w:line="240" w:lineRule="auto"/>
        <w:rPr>
          <w:rFonts w:ascii="Times New Roman" w:hAnsi="Times New Roman" w:cs="Times New Roman"/>
          <w:sz w:val="24"/>
          <w:szCs w:val="24"/>
        </w:rPr>
      </w:pPr>
    </w:p>
    <w:sectPr w:rsidR="00000000">
      <w:headerReference w:type="default" r:id="rId8"/>
      <w:footerReference w:type="default" r:id="rId9"/>
      <w:pgSz w:w="11894" w:h="16833"/>
      <w:pgMar w:top="1440" w:right="1440" w:bottom="108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0000" w:rsidRDefault="00D81571">
      <w:pPr>
        <w:spacing w:after="0" w:line="240" w:lineRule="auto"/>
      </w:pPr>
      <w:r>
        <w:separator/>
      </w:r>
    </w:p>
  </w:endnote>
  <w:endnote w:type="continuationSeparator" w:id="0">
    <w:p w:rsidR="00000000" w:rsidRDefault="00D815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sans-serif">
    <w:panose1 w:val="00000000000000000000"/>
    <w:charset w:val="00"/>
    <w:family w:val="decorative"/>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40" w:type="dxa"/>
      <w:tblLayout w:type="fixed"/>
      <w:tblCellMar>
        <w:left w:w="0" w:type="dxa"/>
        <w:right w:w="0" w:type="dxa"/>
      </w:tblCellMar>
      <w:tblLook w:val="0000" w:firstRow="0" w:lastRow="0" w:firstColumn="0" w:lastColumn="0" w:noHBand="0" w:noVBand="0"/>
    </w:tblPr>
    <w:tblGrid>
      <w:gridCol w:w="2524"/>
      <w:gridCol w:w="3966"/>
      <w:gridCol w:w="2524"/>
    </w:tblGrid>
    <w:tr w:rsidR="00000000">
      <w:tblPrEx>
        <w:tblCellMar>
          <w:top w:w="0" w:type="dxa"/>
          <w:left w:w="0" w:type="dxa"/>
          <w:bottom w:w="0" w:type="dxa"/>
          <w:right w:w="0" w:type="dxa"/>
        </w:tblCellMar>
      </w:tblPrEx>
      <w:tc>
        <w:tcPr>
          <w:tcW w:w="2524" w:type="dxa"/>
          <w:tcBorders>
            <w:top w:val="nil"/>
            <w:left w:val="nil"/>
            <w:bottom w:val="nil"/>
            <w:right w:val="nil"/>
          </w:tcBorders>
          <w:tcMar>
            <w:top w:w="40" w:type="dxa"/>
            <w:left w:w="40" w:type="dxa"/>
            <w:bottom w:w="40" w:type="dxa"/>
            <w:right w:w="40" w:type="dxa"/>
          </w:tcMar>
        </w:tcPr>
        <w:p w:rsidR="00000000" w:rsidRDefault="00D81571">
          <w:pPr>
            <w:widowControl w:val="0"/>
            <w:suppressAutoHyphens/>
            <w:autoSpaceDE w:val="0"/>
            <w:autoSpaceDN w:val="0"/>
            <w:adjustRightInd w:val="0"/>
            <w:spacing w:after="0" w:line="288" w:lineRule="auto"/>
            <w:rPr>
              <w:rFonts w:ascii="sans-serif" w:hAnsi="sans-serif" w:cs="sans-serif"/>
              <w:i/>
              <w:iCs/>
              <w:color w:val="000000"/>
              <w:sz w:val="16"/>
              <w:szCs w:val="16"/>
            </w:rPr>
          </w:pPr>
          <w:r>
            <w:rPr>
              <w:rFonts w:ascii="sans-serif" w:hAnsi="sans-serif" w:cs="sans-serif"/>
              <w:i/>
              <w:iCs/>
              <w:color w:val="000000"/>
              <w:sz w:val="16"/>
              <w:szCs w:val="16"/>
            </w:rPr>
            <w:t xml:space="preserve">Página </w:t>
          </w:r>
          <w:r>
            <w:rPr>
              <w:rFonts w:ascii="sans-serif" w:hAnsi="sans-serif" w:cs="sans-serif"/>
              <w:i/>
              <w:iCs/>
              <w:color w:val="000000"/>
              <w:sz w:val="16"/>
              <w:szCs w:val="16"/>
            </w:rPr>
            <w:pgNum/>
          </w:r>
        </w:p>
      </w:tc>
      <w:tc>
        <w:tcPr>
          <w:tcW w:w="3966" w:type="dxa"/>
          <w:tcBorders>
            <w:top w:val="nil"/>
            <w:left w:val="nil"/>
            <w:bottom w:val="nil"/>
            <w:right w:val="nil"/>
          </w:tcBorders>
          <w:tcMar>
            <w:top w:w="40" w:type="dxa"/>
            <w:left w:w="40" w:type="dxa"/>
            <w:bottom w:w="40" w:type="dxa"/>
            <w:right w:w="40" w:type="dxa"/>
          </w:tcMar>
        </w:tcPr>
        <w:p w:rsidR="00000000" w:rsidRDefault="00D81571">
          <w:pPr>
            <w:widowControl w:val="0"/>
            <w:suppressAutoHyphens/>
            <w:autoSpaceDE w:val="0"/>
            <w:autoSpaceDN w:val="0"/>
            <w:adjustRightInd w:val="0"/>
            <w:spacing w:after="0" w:line="288" w:lineRule="auto"/>
            <w:rPr>
              <w:rFonts w:ascii="sans-serif" w:hAnsi="sans-serif" w:cs="sans-serif"/>
              <w:i/>
              <w:iCs/>
              <w:color w:val="000000"/>
              <w:sz w:val="16"/>
              <w:szCs w:val="16"/>
            </w:rPr>
          </w:pPr>
          <w:r>
            <w:rPr>
              <w:rFonts w:ascii="sans-serif" w:hAnsi="sans-serif" w:cs="sans-serif"/>
              <w:i/>
              <w:iCs/>
              <w:color w:val="000000"/>
              <w:sz w:val="16"/>
              <w:szCs w:val="16"/>
            </w:rPr>
            <w:t>© Thomson Reuters</w:t>
          </w:r>
        </w:p>
      </w:tc>
      <w:tc>
        <w:tcPr>
          <w:tcW w:w="2524" w:type="dxa"/>
          <w:tcBorders>
            <w:top w:val="nil"/>
            <w:left w:val="nil"/>
            <w:bottom w:val="nil"/>
            <w:right w:val="nil"/>
          </w:tcBorders>
          <w:tcMar>
            <w:top w:w="40" w:type="dxa"/>
            <w:left w:w="40" w:type="dxa"/>
            <w:bottom w:w="40" w:type="dxa"/>
            <w:right w:w="40" w:type="dxa"/>
          </w:tcMar>
        </w:tcPr>
        <w:p w:rsidR="00000000" w:rsidRDefault="00D81571">
          <w:pPr>
            <w:widowControl w:val="0"/>
            <w:suppressAutoHyphens/>
            <w:autoSpaceDE w:val="0"/>
            <w:autoSpaceDN w:val="0"/>
            <w:adjustRightInd w:val="0"/>
            <w:spacing w:after="0" w:line="288" w:lineRule="auto"/>
            <w:jc w:val="right"/>
            <w:rPr>
              <w:rFonts w:ascii="sans-serif" w:hAnsi="sans-serif" w:cs="sans-serif"/>
              <w:i/>
              <w:iCs/>
              <w:color w:val="000000"/>
              <w:sz w:val="16"/>
              <w:szCs w:val="16"/>
            </w:rPr>
          </w:pPr>
          <w:r>
            <w:rPr>
              <w:rFonts w:ascii="sans-serif" w:hAnsi="sans-serif" w:cs="sans-serif"/>
              <w:i/>
              <w:iCs/>
              <w:color w:val="000000"/>
              <w:sz w:val="16"/>
              <w:szCs w:val="16"/>
            </w:rPr>
            <w:t>checkpoint.laleyonline.com.ar</w:t>
          </w:r>
        </w:p>
      </w:tc>
    </w:tr>
  </w:tbl>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0000" w:rsidRDefault="00D81571">
      <w:pPr>
        <w:spacing w:after="0" w:line="240" w:lineRule="auto"/>
      </w:pPr>
      <w:r>
        <w:separator/>
      </w:r>
    </w:p>
  </w:footnote>
  <w:footnote w:type="continuationSeparator" w:id="0">
    <w:p w:rsidR="00000000" w:rsidRDefault="00D8157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2524"/>
      <w:gridCol w:w="3966"/>
      <w:gridCol w:w="2524"/>
    </w:tblGrid>
    <w:tr w:rsidR="00000000">
      <w:tblPrEx>
        <w:tblCellMar>
          <w:top w:w="0" w:type="dxa"/>
          <w:left w:w="0" w:type="dxa"/>
          <w:bottom w:w="0" w:type="dxa"/>
          <w:right w:w="0" w:type="dxa"/>
        </w:tblCellMar>
      </w:tblPrEx>
      <w:tc>
        <w:tcPr>
          <w:tcW w:w="2524" w:type="dxa"/>
          <w:tcBorders>
            <w:top w:val="nil"/>
            <w:left w:val="nil"/>
            <w:bottom w:val="nil"/>
            <w:right w:val="nil"/>
          </w:tcBorders>
          <w:tcMar>
            <w:top w:w="0" w:type="dxa"/>
            <w:left w:w="0" w:type="dxa"/>
            <w:bottom w:w="0" w:type="dxa"/>
            <w:right w:w="0" w:type="dxa"/>
          </w:tcMar>
        </w:tcPr>
        <w:p w:rsidR="00000000" w:rsidRDefault="00D81571">
          <w:pPr>
            <w:widowControl w:val="0"/>
            <w:suppressAutoHyphens/>
            <w:autoSpaceDE w:val="0"/>
            <w:autoSpaceDN w:val="0"/>
            <w:adjustRightInd w:val="0"/>
            <w:spacing w:after="0" w:line="288" w:lineRule="auto"/>
            <w:rPr>
              <w:rFonts w:ascii="sans-serif" w:hAnsi="sans-serif" w:cs="sans-serif"/>
              <w:color w:val="000000"/>
              <w:sz w:val="24"/>
              <w:szCs w:val="24"/>
            </w:rPr>
          </w:pPr>
        </w:p>
      </w:tc>
      <w:tc>
        <w:tcPr>
          <w:tcW w:w="3966" w:type="dxa"/>
          <w:tcBorders>
            <w:top w:val="nil"/>
            <w:left w:val="nil"/>
            <w:bottom w:val="nil"/>
            <w:right w:val="nil"/>
          </w:tcBorders>
          <w:tcMar>
            <w:top w:w="0" w:type="dxa"/>
            <w:left w:w="0" w:type="dxa"/>
            <w:bottom w:w="0" w:type="dxa"/>
            <w:right w:w="0" w:type="dxa"/>
          </w:tcMar>
        </w:tcPr>
        <w:p w:rsidR="00000000" w:rsidRDefault="00D81571">
          <w:pPr>
            <w:widowControl w:val="0"/>
            <w:suppressAutoHyphens/>
            <w:autoSpaceDE w:val="0"/>
            <w:autoSpaceDN w:val="0"/>
            <w:adjustRightInd w:val="0"/>
            <w:spacing w:after="0" w:line="288" w:lineRule="auto"/>
            <w:rPr>
              <w:rFonts w:ascii="Times New Roman" w:hAnsi="Times New Roman" w:cs="Times New Roman"/>
              <w:color w:val="000000"/>
              <w:sz w:val="24"/>
              <w:szCs w:val="24"/>
            </w:rPr>
          </w:pPr>
        </w:p>
      </w:tc>
      <w:tc>
        <w:tcPr>
          <w:tcW w:w="2524" w:type="dxa"/>
          <w:tcBorders>
            <w:top w:val="nil"/>
            <w:left w:val="nil"/>
            <w:bottom w:val="nil"/>
            <w:right w:val="nil"/>
          </w:tcBorders>
          <w:tcMar>
            <w:top w:w="0" w:type="dxa"/>
            <w:left w:w="0" w:type="dxa"/>
            <w:bottom w:w="0" w:type="dxa"/>
            <w:right w:w="0" w:type="dxa"/>
          </w:tcMar>
        </w:tcPr>
        <w:p w:rsidR="00000000" w:rsidRDefault="00D81571">
          <w:pPr>
            <w:widowControl w:val="0"/>
            <w:suppressAutoHyphens/>
            <w:autoSpaceDE w:val="0"/>
            <w:autoSpaceDN w:val="0"/>
            <w:adjustRightInd w:val="0"/>
            <w:spacing w:after="0" w:line="288" w:lineRule="auto"/>
            <w:rPr>
              <w:rFonts w:ascii="sans-serif" w:hAnsi="sans-serif" w:cs="sans-serif"/>
              <w:color w:val="000000"/>
              <w:sz w:val="24"/>
              <w:szCs w:val="24"/>
            </w:rPr>
          </w:pPr>
        </w:p>
      </w:tc>
    </w:tr>
  </w:tbl>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720"/>
  <w:autoHyphenation/>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1571"/>
    <w:rsid w:val="00D81571"/>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F4C86D4E-4503-465D-B270-9363B0A746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AR" w:eastAsia="es-A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checkpoint.laleyonline.com.ar/maf/app/document?src=external&amp;crumb-action=append&amp;context=4&amp;docguid=iB7C7CAB5AA937FCEE5746E4DFA93990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4172</Words>
  <Characters>22947</Characters>
  <Application>Microsoft Office Word</Application>
  <DocSecurity>4</DocSecurity>
  <Lines>191</Lines>
  <Paragraphs>54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27065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20220705.V2</dc:creator>
  <cp:keywords/>
  <dc:description/>
  <cp:lastModifiedBy>Rafael Ramognino</cp:lastModifiedBy>
  <cp:revision>2</cp:revision>
  <dcterms:created xsi:type="dcterms:W3CDTF">2022-07-25T17:38:00Z</dcterms:created>
  <dcterms:modified xsi:type="dcterms:W3CDTF">2022-07-25T17:38:00Z</dcterms:modified>
</cp:coreProperties>
</file>